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505B8" w14:textId="12A9E2E2" w:rsidR="00BD3D91" w:rsidRDefault="003E3929" w:rsidP="00A80E00">
      <w:pPr>
        <w:pStyle w:val="Prrafodelista"/>
        <w:numPr>
          <w:ilvl w:val="0"/>
          <w:numId w:val="38"/>
        </w:numPr>
        <w:spacing w:line="240" w:lineRule="atLeast"/>
        <w:jc w:val="both"/>
        <w:outlineLvl w:val="0"/>
        <w:rPr>
          <w:rFonts w:ascii="BaskervilleT" w:hAnsi="BaskervilleT"/>
          <w:b/>
          <w:sz w:val="24"/>
          <w:szCs w:val="24"/>
          <w:u w:val="single"/>
        </w:rPr>
      </w:pPr>
      <w:r w:rsidRPr="002E1A9C">
        <w:rPr>
          <w:rFonts w:ascii="BaskervilleT" w:hAnsi="BaskervilleT"/>
          <w:b/>
          <w:sz w:val="24"/>
          <w:szCs w:val="24"/>
          <w:u w:val="single"/>
        </w:rPr>
        <w:t xml:space="preserve">CARACTERÍSTICAS GENERALES </w:t>
      </w:r>
    </w:p>
    <w:p w14:paraId="1A71B2C6" w14:textId="77777777" w:rsidR="00B97BDC" w:rsidRPr="002E1A9C" w:rsidRDefault="00B97BDC" w:rsidP="00FA0B4A"/>
    <w:tbl>
      <w:tblPr>
        <w:tblStyle w:val="2"/>
        <w:tblW w:w="92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179"/>
        <w:gridCol w:w="5025"/>
      </w:tblGrid>
      <w:tr w:rsidR="0017130F" w:rsidRPr="002E1A9C" w14:paraId="707EFC1C" w14:textId="77777777" w:rsidTr="00B97BDC">
        <w:tc>
          <w:tcPr>
            <w:tcW w:w="0" w:type="auto"/>
            <w:shd w:val="clear" w:color="auto" w:fill="auto"/>
            <w:tcMar>
              <w:top w:w="100" w:type="dxa"/>
              <w:left w:w="100" w:type="dxa"/>
              <w:bottom w:w="100" w:type="dxa"/>
              <w:right w:w="100" w:type="dxa"/>
            </w:tcMar>
          </w:tcPr>
          <w:p w14:paraId="223E25A7" w14:textId="1DB8AB2E" w:rsidR="0017130F" w:rsidRPr="002E1A9C" w:rsidRDefault="0017130F" w:rsidP="00FA0B4A">
            <w:pPr>
              <w:pStyle w:val="Prrafodelista"/>
              <w:widowControl w:val="0"/>
              <w:pBdr>
                <w:top w:val="nil"/>
                <w:left w:val="nil"/>
                <w:bottom w:val="nil"/>
                <w:right w:val="nil"/>
                <w:between w:val="nil"/>
              </w:pBdr>
              <w:spacing w:line="240" w:lineRule="atLeast"/>
              <w:ind w:left="0"/>
              <w:contextualSpacing w:val="0"/>
              <w:jc w:val="both"/>
              <w:rPr>
                <w:rFonts w:ascii="BaskervilleT" w:hAnsi="BaskervilleT"/>
                <w:sz w:val="24"/>
                <w:szCs w:val="24"/>
              </w:rPr>
            </w:pPr>
            <w:r w:rsidRPr="002E1A9C">
              <w:rPr>
                <w:rFonts w:ascii="BaskervilleT" w:hAnsi="BaskervilleT"/>
                <w:sz w:val="24"/>
                <w:szCs w:val="24"/>
              </w:rPr>
              <w:t>Sociedad Administradora:</w:t>
            </w:r>
          </w:p>
        </w:tc>
        <w:tc>
          <w:tcPr>
            <w:tcW w:w="5025" w:type="dxa"/>
            <w:shd w:val="clear" w:color="auto" w:fill="F2F2F2" w:themeFill="background1" w:themeFillShade="F2"/>
            <w:tcMar>
              <w:top w:w="100" w:type="dxa"/>
              <w:left w:w="100" w:type="dxa"/>
              <w:bottom w:w="100" w:type="dxa"/>
              <w:right w:w="100" w:type="dxa"/>
            </w:tcMar>
          </w:tcPr>
          <w:p w14:paraId="45372B25" w14:textId="47792116" w:rsidR="0017130F" w:rsidRPr="002E1A9C" w:rsidRDefault="0017130F" w:rsidP="00FA0B4A">
            <w:pPr>
              <w:spacing w:line="240" w:lineRule="atLeast"/>
              <w:jc w:val="both"/>
              <w:rPr>
                <w:rFonts w:ascii="BaskervilleT" w:hAnsi="BaskervilleT"/>
                <w:sz w:val="24"/>
                <w:szCs w:val="24"/>
              </w:rPr>
            </w:pPr>
            <w:r w:rsidRPr="002E1A9C">
              <w:rPr>
                <w:rFonts w:ascii="BaskervilleT" w:hAnsi="BaskervilleT"/>
                <w:color w:val="808080" w:themeColor="background1" w:themeShade="80"/>
                <w:sz w:val="24"/>
                <w:szCs w:val="24"/>
                <w:highlight w:val="lightGray"/>
              </w:rPr>
              <w:fldChar w:fldCharType="begin">
                <w:ffData>
                  <w:name w:val="Texto1"/>
                  <w:enabled/>
                  <w:calcOnExit w:val="0"/>
                  <w:textInput>
                    <w:default w:val="Introducir nombre de la Sociedad Administradora"/>
                  </w:textInput>
                </w:ffData>
              </w:fldChar>
            </w:r>
            <w:bookmarkStart w:id="0" w:name="Texto1"/>
            <w:r w:rsidRPr="002E1A9C">
              <w:rPr>
                <w:rFonts w:ascii="BaskervilleT" w:hAnsi="BaskervilleT"/>
                <w:color w:val="808080" w:themeColor="background1" w:themeShade="80"/>
                <w:sz w:val="24"/>
                <w:szCs w:val="24"/>
                <w:highlight w:val="lightGray"/>
              </w:rPr>
              <w:instrText xml:space="preserve"> FORMTEXT </w:instrText>
            </w:r>
            <w:r w:rsidRPr="002E1A9C">
              <w:rPr>
                <w:rFonts w:ascii="BaskervilleT" w:hAnsi="BaskervilleT"/>
                <w:color w:val="808080" w:themeColor="background1" w:themeShade="80"/>
                <w:sz w:val="24"/>
                <w:szCs w:val="24"/>
                <w:highlight w:val="lightGray"/>
              </w:rPr>
            </w:r>
            <w:r w:rsidRPr="002E1A9C">
              <w:rPr>
                <w:rFonts w:ascii="BaskervilleT" w:hAnsi="BaskervilleT"/>
                <w:color w:val="808080" w:themeColor="background1" w:themeShade="80"/>
                <w:sz w:val="24"/>
                <w:szCs w:val="24"/>
                <w:highlight w:val="lightGray"/>
              </w:rPr>
              <w:fldChar w:fldCharType="separate"/>
            </w:r>
            <w:r w:rsidRPr="002E1A9C">
              <w:rPr>
                <w:rFonts w:ascii="BaskervilleT" w:hAnsi="BaskervilleT"/>
                <w:color w:val="808080" w:themeColor="background1" w:themeShade="80"/>
                <w:sz w:val="24"/>
                <w:szCs w:val="24"/>
                <w:highlight w:val="lightGray"/>
              </w:rPr>
              <w:t>Introducir nombre de la Sociedad Administradora</w:t>
            </w:r>
            <w:r w:rsidRPr="002E1A9C">
              <w:rPr>
                <w:rFonts w:ascii="BaskervilleT" w:hAnsi="BaskervilleT"/>
                <w:color w:val="808080" w:themeColor="background1" w:themeShade="80"/>
                <w:sz w:val="24"/>
                <w:szCs w:val="24"/>
                <w:highlight w:val="lightGray"/>
              </w:rPr>
              <w:fldChar w:fldCharType="end"/>
            </w:r>
            <w:bookmarkEnd w:id="0"/>
          </w:p>
        </w:tc>
      </w:tr>
      <w:tr w:rsidR="0017130F" w:rsidRPr="002E1A9C" w14:paraId="1BD490F6" w14:textId="77777777" w:rsidTr="00B97BDC">
        <w:tc>
          <w:tcPr>
            <w:tcW w:w="0" w:type="auto"/>
            <w:shd w:val="clear" w:color="auto" w:fill="auto"/>
            <w:tcMar>
              <w:top w:w="100" w:type="dxa"/>
              <w:left w:w="100" w:type="dxa"/>
              <w:bottom w:w="100" w:type="dxa"/>
              <w:right w:w="100" w:type="dxa"/>
            </w:tcMar>
          </w:tcPr>
          <w:p w14:paraId="34A6C763" w14:textId="18B92ACE" w:rsidR="0017130F" w:rsidRPr="002E1A9C" w:rsidRDefault="0017130F" w:rsidP="00FA0B4A">
            <w:pPr>
              <w:pStyle w:val="Prrafodelista"/>
              <w:widowControl w:val="0"/>
              <w:pBdr>
                <w:top w:val="nil"/>
                <w:left w:val="nil"/>
                <w:bottom w:val="nil"/>
                <w:right w:val="nil"/>
                <w:between w:val="nil"/>
              </w:pBdr>
              <w:spacing w:line="240" w:lineRule="atLeast"/>
              <w:ind w:left="0"/>
              <w:contextualSpacing w:val="0"/>
              <w:jc w:val="both"/>
              <w:rPr>
                <w:rFonts w:ascii="BaskervilleT" w:hAnsi="BaskervilleT"/>
                <w:sz w:val="24"/>
                <w:szCs w:val="24"/>
              </w:rPr>
            </w:pPr>
            <w:r w:rsidRPr="002E1A9C">
              <w:rPr>
                <w:rFonts w:ascii="BaskervilleT" w:hAnsi="BaskervilleT"/>
                <w:sz w:val="24"/>
                <w:szCs w:val="24"/>
              </w:rPr>
              <w:t>Nombre del Fondo</w:t>
            </w:r>
            <w:r w:rsidR="009967F6" w:rsidRPr="002E1A9C">
              <w:rPr>
                <w:rFonts w:ascii="BaskervilleT" w:hAnsi="BaskervilleT"/>
                <w:sz w:val="24"/>
                <w:szCs w:val="24"/>
              </w:rPr>
              <w:t>:</w:t>
            </w:r>
          </w:p>
        </w:tc>
        <w:bookmarkStart w:id="1" w:name="_Hlk176965282"/>
        <w:tc>
          <w:tcPr>
            <w:tcW w:w="5025" w:type="dxa"/>
            <w:shd w:val="clear" w:color="auto" w:fill="F2F2F2" w:themeFill="background1" w:themeFillShade="F2"/>
            <w:tcMar>
              <w:top w:w="100" w:type="dxa"/>
              <w:left w:w="100" w:type="dxa"/>
              <w:bottom w:w="100" w:type="dxa"/>
              <w:right w:w="100" w:type="dxa"/>
            </w:tcMar>
          </w:tcPr>
          <w:p w14:paraId="006ACA03" w14:textId="585856F6" w:rsidR="0017130F" w:rsidRPr="002E1A9C" w:rsidRDefault="0017130F" w:rsidP="00FA0B4A">
            <w:pPr>
              <w:spacing w:line="240" w:lineRule="atLeast"/>
              <w:jc w:val="both"/>
              <w:rPr>
                <w:rFonts w:ascii="BaskervilleT" w:hAnsi="BaskervilleT"/>
                <w:sz w:val="24"/>
                <w:szCs w:val="24"/>
              </w:rPr>
            </w:pPr>
            <w:r w:rsidRPr="002E1A9C">
              <w:rPr>
                <w:rFonts w:ascii="BaskervilleT" w:hAnsi="BaskervilleT"/>
                <w:color w:val="808080" w:themeColor="background1" w:themeShade="80"/>
                <w:sz w:val="24"/>
                <w:szCs w:val="24"/>
                <w:highlight w:val="lightGray"/>
              </w:rPr>
              <w:fldChar w:fldCharType="begin">
                <w:ffData>
                  <w:name w:val="Texto1"/>
                  <w:enabled/>
                  <w:calcOnExit w:val="0"/>
                  <w:textInput>
                    <w:default w:val="Introducir nombre del Fondo"/>
                  </w:textInput>
                </w:ffData>
              </w:fldChar>
            </w:r>
            <w:r w:rsidRPr="002E1A9C">
              <w:rPr>
                <w:rFonts w:ascii="BaskervilleT" w:hAnsi="BaskervilleT"/>
                <w:color w:val="808080" w:themeColor="background1" w:themeShade="80"/>
                <w:sz w:val="24"/>
                <w:szCs w:val="24"/>
                <w:highlight w:val="lightGray"/>
              </w:rPr>
              <w:instrText xml:space="preserve"> FORMTEXT </w:instrText>
            </w:r>
            <w:r w:rsidRPr="002E1A9C">
              <w:rPr>
                <w:rFonts w:ascii="BaskervilleT" w:hAnsi="BaskervilleT"/>
                <w:color w:val="808080" w:themeColor="background1" w:themeShade="80"/>
                <w:sz w:val="24"/>
                <w:szCs w:val="24"/>
                <w:highlight w:val="lightGray"/>
              </w:rPr>
            </w:r>
            <w:r w:rsidRPr="002E1A9C">
              <w:rPr>
                <w:rFonts w:ascii="BaskervilleT" w:hAnsi="BaskervilleT"/>
                <w:color w:val="808080" w:themeColor="background1" w:themeShade="80"/>
                <w:sz w:val="24"/>
                <w:szCs w:val="24"/>
                <w:highlight w:val="lightGray"/>
              </w:rPr>
              <w:fldChar w:fldCharType="separate"/>
            </w:r>
            <w:r w:rsidRPr="002E1A9C">
              <w:rPr>
                <w:rFonts w:ascii="BaskervilleT" w:hAnsi="BaskervilleT"/>
                <w:color w:val="808080" w:themeColor="background1" w:themeShade="80"/>
                <w:sz w:val="24"/>
                <w:szCs w:val="24"/>
                <w:highlight w:val="lightGray"/>
              </w:rPr>
              <w:t>Introducir nombre del Fondo</w:t>
            </w:r>
            <w:r w:rsidRPr="002E1A9C">
              <w:rPr>
                <w:rFonts w:ascii="BaskervilleT" w:hAnsi="BaskervilleT"/>
                <w:color w:val="808080" w:themeColor="background1" w:themeShade="80"/>
                <w:sz w:val="24"/>
                <w:szCs w:val="24"/>
                <w:highlight w:val="lightGray"/>
              </w:rPr>
              <w:fldChar w:fldCharType="end"/>
            </w:r>
            <w:bookmarkEnd w:id="1"/>
          </w:p>
        </w:tc>
      </w:tr>
      <w:tr w:rsidR="0017130F" w:rsidRPr="002E1A9C" w14:paraId="54024B8E" w14:textId="77777777" w:rsidTr="00B97BDC">
        <w:tc>
          <w:tcPr>
            <w:tcW w:w="0" w:type="auto"/>
            <w:shd w:val="clear" w:color="auto" w:fill="auto"/>
            <w:tcMar>
              <w:top w:w="100" w:type="dxa"/>
              <w:left w:w="100" w:type="dxa"/>
              <w:bottom w:w="100" w:type="dxa"/>
              <w:right w:w="100" w:type="dxa"/>
            </w:tcMar>
          </w:tcPr>
          <w:p w14:paraId="44C9E5DD" w14:textId="7385A258" w:rsidR="0017130F" w:rsidRPr="002E1A9C" w:rsidRDefault="0017130F" w:rsidP="00FA0B4A">
            <w:pPr>
              <w:pStyle w:val="Prrafodelista"/>
              <w:spacing w:line="240" w:lineRule="atLeast"/>
              <w:ind w:left="0"/>
              <w:contextualSpacing w:val="0"/>
              <w:jc w:val="both"/>
              <w:rPr>
                <w:rFonts w:ascii="BaskervilleT" w:hAnsi="BaskervilleT"/>
                <w:sz w:val="24"/>
                <w:szCs w:val="24"/>
              </w:rPr>
            </w:pPr>
            <w:r w:rsidRPr="002E1A9C">
              <w:rPr>
                <w:rFonts w:ascii="BaskervilleT" w:hAnsi="BaskervilleT"/>
                <w:sz w:val="24"/>
                <w:szCs w:val="24"/>
              </w:rPr>
              <w:t>Objetivo de Inversión:</w:t>
            </w:r>
          </w:p>
        </w:tc>
        <w:bookmarkStart w:id="2" w:name="_Hlk176965475"/>
        <w:tc>
          <w:tcPr>
            <w:tcW w:w="5025" w:type="dxa"/>
            <w:shd w:val="clear" w:color="auto" w:fill="F2F2F2" w:themeFill="background1" w:themeFillShade="F2"/>
            <w:tcMar>
              <w:top w:w="100" w:type="dxa"/>
              <w:left w:w="100" w:type="dxa"/>
              <w:bottom w:w="100" w:type="dxa"/>
              <w:right w:w="100" w:type="dxa"/>
            </w:tcMar>
          </w:tcPr>
          <w:p w14:paraId="3AA48154" w14:textId="2D5C150F" w:rsidR="0017130F" w:rsidRPr="002E1A9C" w:rsidRDefault="0017130F" w:rsidP="00FA0B4A">
            <w:pPr>
              <w:spacing w:line="240" w:lineRule="atLeast"/>
              <w:jc w:val="both"/>
              <w:rPr>
                <w:rFonts w:ascii="BaskervilleT" w:hAnsi="BaskervilleT"/>
                <w:sz w:val="24"/>
                <w:szCs w:val="24"/>
              </w:rPr>
            </w:pPr>
            <w:r w:rsidRPr="002E1A9C">
              <w:rPr>
                <w:rFonts w:ascii="BaskervilleT" w:hAnsi="BaskervilleT"/>
                <w:color w:val="808080" w:themeColor="background1" w:themeShade="80"/>
                <w:sz w:val="24"/>
                <w:szCs w:val="24"/>
                <w:highlight w:val="lightGray"/>
              </w:rPr>
              <w:fldChar w:fldCharType="begin">
                <w:ffData>
                  <w:name w:val="Texto2"/>
                  <w:enabled/>
                  <w:calcOnExit w:val="0"/>
                  <w:textInput>
                    <w:default w:val="Introducir el objetivo de inversión del Fondo"/>
                  </w:textInput>
                </w:ffData>
              </w:fldChar>
            </w:r>
            <w:bookmarkStart w:id="3" w:name="Texto2"/>
            <w:r w:rsidRPr="002E1A9C">
              <w:rPr>
                <w:rFonts w:ascii="BaskervilleT" w:hAnsi="BaskervilleT"/>
                <w:color w:val="808080" w:themeColor="background1" w:themeShade="80"/>
                <w:sz w:val="24"/>
                <w:szCs w:val="24"/>
                <w:highlight w:val="lightGray"/>
              </w:rPr>
              <w:instrText xml:space="preserve"> FORMTEXT </w:instrText>
            </w:r>
            <w:r w:rsidRPr="002E1A9C">
              <w:rPr>
                <w:rFonts w:ascii="BaskervilleT" w:hAnsi="BaskervilleT"/>
                <w:color w:val="808080" w:themeColor="background1" w:themeShade="80"/>
                <w:sz w:val="24"/>
                <w:szCs w:val="24"/>
                <w:highlight w:val="lightGray"/>
              </w:rPr>
            </w:r>
            <w:r w:rsidRPr="002E1A9C">
              <w:rPr>
                <w:rFonts w:ascii="BaskervilleT" w:hAnsi="BaskervilleT"/>
                <w:color w:val="808080" w:themeColor="background1" w:themeShade="80"/>
                <w:sz w:val="24"/>
                <w:szCs w:val="24"/>
                <w:highlight w:val="lightGray"/>
              </w:rPr>
              <w:fldChar w:fldCharType="separate"/>
            </w:r>
            <w:r w:rsidRPr="002E1A9C">
              <w:rPr>
                <w:rFonts w:ascii="BaskervilleT" w:hAnsi="BaskervilleT"/>
                <w:noProof/>
                <w:color w:val="808080" w:themeColor="background1" w:themeShade="80"/>
                <w:sz w:val="24"/>
                <w:szCs w:val="24"/>
                <w:highlight w:val="lightGray"/>
              </w:rPr>
              <w:t>Introducir el objetivo de inversión del Fondo</w:t>
            </w:r>
            <w:r w:rsidRPr="002E1A9C">
              <w:rPr>
                <w:rFonts w:ascii="BaskervilleT" w:hAnsi="BaskervilleT"/>
                <w:color w:val="808080" w:themeColor="background1" w:themeShade="80"/>
                <w:sz w:val="24"/>
                <w:szCs w:val="24"/>
                <w:highlight w:val="lightGray"/>
              </w:rPr>
              <w:fldChar w:fldCharType="end"/>
            </w:r>
            <w:bookmarkEnd w:id="2"/>
            <w:bookmarkEnd w:id="3"/>
          </w:p>
        </w:tc>
      </w:tr>
      <w:tr w:rsidR="00517046" w:rsidRPr="002E1A9C" w14:paraId="55215475" w14:textId="77777777" w:rsidTr="000D7D17">
        <w:trPr>
          <w:trHeight w:val="579"/>
        </w:trPr>
        <w:tc>
          <w:tcPr>
            <w:tcW w:w="0" w:type="auto"/>
            <w:shd w:val="clear" w:color="auto" w:fill="auto"/>
            <w:tcMar>
              <w:top w:w="100" w:type="dxa"/>
              <w:left w:w="100" w:type="dxa"/>
              <w:bottom w:w="100" w:type="dxa"/>
              <w:right w:w="100" w:type="dxa"/>
            </w:tcMar>
          </w:tcPr>
          <w:p w14:paraId="37A1FFF3" w14:textId="1B260EB3" w:rsidR="00517046" w:rsidRPr="002E1A9C" w:rsidRDefault="00517046" w:rsidP="00FA0B4A">
            <w:pPr>
              <w:pStyle w:val="Prrafodelista"/>
              <w:spacing w:line="240" w:lineRule="atLeast"/>
              <w:ind w:left="0"/>
              <w:contextualSpacing w:val="0"/>
              <w:jc w:val="both"/>
              <w:rPr>
                <w:rFonts w:ascii="BaskervilleT" w:eastAsia="Times New Roman" w:hAnsi="BaskervilleT" w:cs="Times New Roman"/>
                <w:sz w:val="24"/>
                <w:szCs w:val="24"/>
              </w:rPr>
            </w:pPr>
            <w:r w:rsidRPr="002E1A9C">
              <w:rPr>
                <w:rFonts w:ascii="BaskervilleT" w:hAnsi="BaskervilleT"/>
                <w:sz w:val="24"/>
                <w:szCs w:val="24"/>
              </w:rPr>
              <w:t>Moneda</w:t>
            </w:r>
            <w:r w:rsidRPr="002E1A9C">
              <w:rPr>
                <w:rFonts w:ascii="BaskervilleT" w:eastAsia="Times New Roman" w:hAnsi="BaskervilleT" w:cs="Times New Roman"/>
                <w:sz w:val="24"/>
                <w:szCs w:val="24"/>
              </w:rPr>
              <w:t>:</w:t>
            </w:r>
          </w:p>
        </w:tc>
        <w:tc>
          <w:tcPr>
            <w:tcW w:w="5025" w:type="dxa"/>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id w:val="1031379785"/>
              <w:placeholder>
                <w:docPart w:val="52E321B2C55B4FB7A51C245BD505319C"/>
              </w:placeholder>
              <w:showingPlcHdr/>
              <w:comboBox>
                <w:listItem w:value="Elija un elemento."/>
                <w:listItem w:displayText="Dólares Americanos (USD)" w:value="Dólares Americanos (USD)"/>
                <w:listItem w:displayText="Guaraníes (PYG)" w:value="Guaraníes (PYG)"/>
              </w:comboBox>
            </w:sdtPr>
            <w:sdtEndPr/>
            <w:sdtContent>
              <w:p w14:paraId="5CE4EB3C" w14:textId="0E23DC74" w:rsidR="00BA5F77" w:rsidRPr="000D7D17" w:rsidRDefault="000D7D17" w:rsidP="00FA0B4A">
                <w:pPr>
                  <w:spacing w:line="240" w:lineRule="atLeast"/>
                  <w:jc w:val="both"/>
                  <w:rPr>
                    <w:rFonts w:ascii="BaskervilleT" w:hAnsi="BaskervilleT"/>
                    <w:sz w:val="24"/>
                    <w:szCs w:val="24"/>
                  </w:rPr>
                </w:pPr>
                <w:r w:rsidRPr="000D7D17">
                  <w:rPr>
                    <w:rFonts w:ascii="BaskervilleT" w:hAnsi="BaskervilleT"/>
                    <w:color w:val="808080" w:themeColor="background1" w:themeShade="80"/>
                    <w:sz w:val="24"/>
                    <w:szCs w:val="24"/>
                    <w:highlight w:val="lightGray"/>
                  </w:rPr>
                  <w:t>Elija un elemento.</w:t>
                </w:r>
              </w:p>
            </w:sdtContent>
          </w:sdt>
        </w:tc>
      </w:tr>
      <w:tr w:rsidR="0017130F" w:rsidRPr="002E1A9C" w14:paraId="508884B1" w14:textId="77777777" w:rsidTr="00B97BDC">
        <w:tc>
          <w:tcPr>
            <w:tcW w:w="0" w:type="auto"/>
            <w:shd w:val="clear" w:color="auto" w:fill="auto"/>
            <w:tcMar>
              <w:top w:w="100" w:type="dxa"/>
              <w:left w:w="100" w:type="dxa"/>
              <w:bottom w:w="100" w:type="dxa"/>
              <w:right w:w="100" w:type="dxa"/>
            </w:tcMar>
          </w:tcPr>
          <w:p w14:paraId="77861CD2" w14:textId="58E5D223" w:rsidR="0017130F" w:rsidRPr="002E1A9C" w:rsidRDefault="0017130F" w:rsidP="00FA0B4A">
            <w:pPr>
              <w:pStyle w:val="Prrafodelista"/>
              <w:spacing w:line="240" w:lineRule="atLeast"/>
              <w:ind w:left="0"/>
              <w:contextualSpacing w:val="0"/>
              <w:jc w:val="both"/>
              <w:rPr>
                <w:rFonts w:ascii="BaskervilleT" w:hAnsi="BaskervilleT"/>
                <w:sz w:val="24"/>
                <w:szCs w:val="24"/>
              </w:rPr>
            </w:pPr>
            <w:r w:rsidRPr="002E1A9C">
              <w:rPr>
                <w:rFonts w:ascii="BaskervilleT" w:hAnsi="BaskervilleT"/>
                <w:sz w:val="24"/>
                <w:szCs w:val="24"/>
              </w:rPr>
              <w:t>Certificado de Registro:</w:t>
            </w:r>
          </w:p>
        </w:tc>
        <w:tc>
          <w:tcPr>
            <w:tcW w:w="5025" w:type="dxa"/>
            <w:shd w:val="clear" w:color="auto" w:fill="F2F2F2" w:themeFill="background1" w:themeFillShade="F2"/>
            <w:tcMar>
              <w:top w:w="100" w:type="dxa"/>
              <w:left w:w="100" w:type="dxa"/>
              <w:bottom w:w="100" w:type="dxa"/>
              <w:right w:w="100" w:type="dxa"/>
            </w:tcMar>
          </w:tcPr>
          <w:p w14:paraId="6F0C93A1" w14:textId="301E0146" w:rsidR="0017130F" w:rsidRPr="002E1A9C" w:rsidRDefault="0017130F" w:rsidP="00FA0B4A">
            <w:pPr>
              <w:spacing w:line="240" w:lineRule="atLeast"/>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3"/>
                  <w:enabled/>
                  <w:calcOnExit w:val="0"/>
                  <w:textInput>
                    <w:default w:val="Introducir Certificado de Registro N° del Fondo Inversión."/>
                  </w:textInput>
                </w:ffData>
              </w:fldChar>
            </w:r>
            <w:bookmarkStart w:id="4" w:name="Texto3"/>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Introducir Certificado de Registro N° del Fondo Inversión.</w:t>
            </w:r>
            <w:r w:rsidRPr="002E1A9C">
              <w:rPr>
                <w:rFonts w:ascii="BaskervilleT" w:hAnsi="BaskervilleT"/>
                <w:color w:val="808080" w:themeColor="background1" w:themeShade="80"/>
                <w:sz w:val="24"/>
                <w:szCs w:val="24"/>
              </w:rPr>
              <w:fldChar w:fldCharType="end"/>
            </w:r>
            <w:bookmarkEnd w:id="4"/>
          </w:p>
        </w:tc>
      </w:tr>
      <w:tr w:rsidR="0017130F" w:rsidRPr="002E1A9C" w14:paraId="415CE1F7" w14:textId="77777777" w:rsidTr="00B97BDC">
        <w:tc>
          <w:tcPr>
            <w:tcW w:w="0" w:type="auto"/>
            <w:shd w:val="clear" w:color="auto" w:fill="auto"/>
            <w:tcMar>
              <w:top w:w="100" w:type="dxa"/>
              <w:left w:w="100" w:type="dxa"/>
              <w:bottom w:w="100" w:type="dxa"/>
              <w:right w:w="100" w:type="dxa"/>
            </w:tcMar>
          </w:tcPr>
          <w:p w14:paraId="5BA98824" w14:textId="402366D7" w:rsidR="0017130F" w:rsidRPr="002E1A9C" w:rsidRDefault="0017130F" w:rsidP="00FA0B4A">
            <w:pPr>
              <w:pStyle w:val="Prrafodelista"/>
              <w:spacing w:line="240" w:lineRule="atLeast"/>
              <w:ind w:left="0"/>
              <w:contextualSpacing w:val="0"/>
              <w:jc w:val="both"/>
              <w:rPr>
                <w:rFonts w:ascii="BaskervilleT" w:hAnsi="BaskervilleT"/>
                <w:color w:val="202124"/>
                <w:sz w:val="24"/>
                <w:szCs w:val="24"/>
              </w:rPr>
            </w:pPr>
            <w:r w:rsidRPr="002E1A9C">
              <w:rPr>
                <w:rFonts w:ascii="BaskervilleT" w:hAnsi="BaskervilleT"/>
                <w:sz w:val="24"/>
                <w:szCs w:val="24"/>
              </w:rPr>
              <w:t xml:space="preserve">Datos de registro de la Sociedad Administradora: </w:t>
            </w:r>
          </w:p>
        </w:tc>
        <w:bookmarkStart w:id="5" w:name="_Hlk176965582"/>
        <w:tc>
          <w:tcPr>
            <w:tcW w:w="5025" w:type="dxa"/>
            <w:shd w:val="clear" w:color="auto" w:fill="F2F2F2" w:themeFill="background1" w:themeFillShade="F2"/>
            <w:tcMar>
              <w:top w:w="100" w:type="dxa"/>
              <w:left w:w="100" w:type="dxa"/>
              <w:bottom w:w="100" w:type="dxa"/>
              <w:right w:w="100" w:type="dxa"/>
            </w:tcMar>
          </w:tcPr>
          <w:p w14:paraId="11D8B322" w14:textId="5B4D1B6E" w:rsidR="0017130F" w:rsidRPr="000D7D17" w:rsidRDefault="002B7347" w:rsidP="00FA0B4A">
            <w:pPr>
              <w:spacing w:line="240" w:lineRule="atLeast"/>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highlight w:val="lightGray"/>
              </w:rPr>
              <w:fldChar w:fldCharType="begin">
                <w:ffData>
                  <w:name w:val="Texto4"/>
                  <w:enabled/>
                  <w:calcOnExit w:val="0"/>
                  <w:textInput>
                    <w:default w:val="Introducir la siguiente información: domicilio, datos de la escritura de constitución y del Certificado de Registro ante la Superintendencia de Valores, correspondientes a la AFPISA. "/>
                  </w:textInput>
                </w:ffData>
              </w:fldChar>
            </w:r>
            <w:r w:rsidRPr="002E1A9C">
              <w:rPr>
                <w:rFonts w:ascii="BaskervilleT" w:hAnsi="BaskervilleT"/>
                <w:color w:val="808080" w:themeColor="background1" w:themeShade="80"/>
                <w:sz w:val="24"/>
                <w:szCs w:val="24"/>
                <w:highlight w:val="lightGray"/>
              </w:rPr>
              <w:instrText xml:space="preserve"> </w:instrText>
            </w:r>
            <w:bookmarkStart w:id="6" w:name="Texto4"/>
            <w:r w:rsidRPr="002E1A9C">
              <w:rPr>
                <w:rFonts w:ascii="BaskervilleT" w:hAnsi="BaskervilleT"/>
                <w:color w:val="808080" w:themeColor="background1" w:themeShade="80"/>
                <w:sz w:val="24"/>
                <w:szCs w:val="24"/>
                <w:highlight w:val="lightGray"/>
              </w:rPr>
              <w:instrText xml:space="preserve">FORMTEXT </w:instrText>
            </w:r>
            <w:r w:rsidRPr="002E1A9C">
              <w:rPr>
                <w:rFonts w:ascii="BaskervilleT" w:hAnsi="BaskervilleT"/>
                <w:color w:val="808080" w:themeColor="background1" w:themeShade="80"/>
                <w:sz w:val="24"/>
                <w:szCs w:val="24"/>
                <w:highlight w:val="lightGray"/>
              </w:rPr>
            </w:r>
            <w:r w:rsidRPr="002E1A9C">
              <w:rPr>
                <w:rFonts w:ascii="BaskervilleT" w:hAnsi="BaskervilleT"/>
                <w:color w:val="808080" w:themeColor="background1" w:themeShade="80"/>
                <w:sz w:val="24"/>
                <w:szCs w:val="24"/>
                <w:highlight w:val="lightGray"/>
              </w:rPr>
              <w:fldChar w:fldCharType="separate"/>
            </w:r>
            <w:r w:rsidRPr="002E1A9C">
              <w:rPr>
                <w:rFonts w:ascii="BaskervilleT" w:hAnsi="BaskervilleT"/>
                <w:noProof/>
                <w:color w:val="808080" w:themeColor="background1" w:themeShade="80"/>
                <w:sz w:val="24"/>
                <w:szCs w:val="24"/>
                <w:highlight w:val="lightGray"/>
              </w:rPr>
              <w:t xml:space="preserve">Introducir la siguiente información: domicilio, datos de la escritura de constitución y del Certificado de Registro ante la Superintendencia de Valores, correspondientes a la AFPISA. </w:t>
            </w:r>
            <w:r w:rsidRPr="002E1A9C">
              <w:rPr>
                <w:rFonts w:ascii="BaskervilleT" w:hAnsi="BaskervilleT"/>
                <w:color w:val="808080" w:themeColor="background1" w:themeShade="80"/>
                <w:sz w:val="24"/>
                <w:szCs w:val="24"/>
                <w:highlight w:val="lightGray"/>
              </w:rPr>
              <w:fldChar w:fldCharType="end"/>
            </w:r>
            <w:bookmarkEnd w:id="5"/>
            <w:bookmarkEnd w:id="6"/>
          </w:p>
        </w:tc>
      </w:tr>
      <w:tr w:rsidR="00517046" w:rsidRPr="002E1A9C" w14:paraId="06CB83DD" w14:textId="77777777" w:rsidTr="00B97BDC">
        <w:tc>
          <w:tcPr>
            <w:tcW w:w="0" w:type="auto"/>
            <w:shd w:val="clear" w:color="auto" w:fill="auto"/>
            <w:tcMar>
              <w:top w:w="100" w:type="dxa"/>
              <w:left w:w="100" w:type="dxa"/>
              <w:bottom w:w="100" w:type="dxa"/>
              <w:right w:w="100" w:type="dxa"/>
            </w:tcMar>
          </w:tcPr>
          <w:p w14:paraId="00035F3B" w14:textId="484A37F3" w:rsidR="00517046" w:rsidRPr="002E1A9C" w:rsidRDefault="00517046" w:rsidP="00FA0B4A">
            <w:pPr>
              <w:pStyle w:val="Prrafodelista"/>
              <w:spacing w:line="240" w:lineRule="atLeast"/>
              <w:ind w:left="0"/>
              <w:contextualSpacing w:val="0"/>
              <w:jc w:val="both"/>
              <w:rPr>
                <w:rFonts w:ascii="BaskervilleT" w:hAnsi="BaskervilleT"/>
                <w:sz w:val="24"/>
                <w:szCs w:val="24"/>
              </w:rPr>
            </w:pPr>
            <w:bookmarkStart w:id="7" w:name="_Hlk176873302"/>
            <w:r w:rsidRPr="002E1A9C">
              <w:rPr>
                <w:rFonts w:ascii="BaskervilleT" w:hAnsi="BaskervilleT"/>
                <w:sz w:val="24"/>
                <w:szCs w:val="24"/>
              </w:rPr>
              <w:t>Plazo de duración</w:t>
            </w:r>
            <w:r w:rsidR="00EE1254" w:rsidRPr="002E1A9C">
              <w:rPr>
                <w:rFonts w:ascii="BaskervilleT" w:hAnsi="BaskervilleT"/>
                <w:sz w:val="24"/>
                <w:szCs w:val="24"/>
              </w:rPr>
              <w:t xml:space="preserve"> (en años)</w:t>
            </w:r>
            <w:r w:rsidRPr="002E1A9C">
              <w:rPr>
                <w:rFonts w:ascii="BaskervilleT" w:hAnsi="BaskervilleT"/>
                <w:sz w:val="24"/>
                <w:szCs w:val="24"/>
              </w:rPr>
              <w:t>:</w:t>
            </w:r>
          </w:p>
        </w:tc>
        <w:tc>
          <w:tcPr>
            <w:tcW w:w="5025" w:type="dxa"/>
            <w:shd w:val="clear" w:color="auto" w:fill="F2F2F2" w:themeFill="background1" w:themeFillShade="F2"/>
            <w:tcMar>
              <w:top w:w="100" w:type="dxa"/>
              <w:left w:w="100" w:type="dxa"/>
              <w:bottom w:w="100" w:type="dxa"/>
              <w:right w:w="100" w:type="dxa"/>
            </w:tcMar>
          </w:tcPr>
          <w:sdt>
            <w:sdtPr>
              <w:rPr>
                <w:rFonts w:ascii="BaskervilleT" w:hAnsi="BaskervilleT"/>
                <w:sz w:val="24"/>
                <w:szCs w:val="24"/>
              </w:rPr>
              <w:alias w:val="1 año"/>
              <w:tag w:val="1 año"/>
              <w:id w:val="1213618287"/>
              <w:placeholder>
                <w:docPart w:val="0D207CAC2410422ABCB9D582D564AE81"/>
              </w:placeholder>
              <w:showingPlcHdr/>
              <w:comboBox>
                <w:listItem w:value="Elija un elemento."/>
                <w:listItem w:displayText="1 año" w:value="1 año"/>
                <w:listItem w:displayText="1 año y 6 meses" w:value="1 año y 6 meses"/>
                <w:listItem w:displayText="2 años" w:value="2 años"/>
                <w:listItem w:displayText="2 años y 6 meses" w:value="2 años y 6 meses"/>
                <w:listItem w:displayText="3 años " w:value="3 años "/>
                <w:listItem w:displayText="3 años y 6 meses" w:value="3 años y 6 meses"/>
                <w:listItem w:displayText="4 años" w:value="4 años"/>
                <w:listItem w:displayText="4 años y 6 meses" w:value="4 años y 6 meses"/>
                <w:listItem w:displayText="5 años" w:value="5 años"/>
                <w:listItem w:displayText="5 años y 6 meses" w:value="5 años y 6 meses"/>
                <w:listItem w:displayText="6 años" w:value="6 años"/>
                <w:listItem w:displayText="6 años y 6 meses" w:value="6 años y 6 meses"/>
                <w:listItem w:displayText="7 años" w:value="7 años"/>
                <w:listItem w:displayText="7 años y 6 meses" w:value="7 años y 6 meses"/>
                <w:listItem w:displayText="8 años" w:value="8 años"/>
                <w:listItem w:displayText="8 años y 6 meses" w:value="8 años y 6 meses"/>
                <w:listItem w:displayText="9 años" w:value="9 años"/>
                <w:listItem w:displayText="9 años y 6 meses" w:value="9 años y 6 meses"/>
                <w:listItem w:displayText="10 años" w:value="10 años"/>
              </w:comboBox>
            </w:sdtPr>
            <w:sdtEndPr/>
            <w:sdtContent>
              <w:p w14:paraId="63FBAED4" w14:textId="730035A0" w:rsidR="005C701E" w:rsidRPr="002E1A9C" w:rsidRDefault="005C701E"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p w14:paraId="1C691807" w14:textId="15F816FE" w:rsidR="00A62E94" w:rsidRPr="002E1A9C" w:rsidRDefault="00A62E94" w:rsidP="00FA0B4A">
            <w:pPr>
              <w:spacing w:line="240" w:lineRule="atLeast"/>
              <w:jc w:val="both"/>
              <w:rPr>
                <w:rFonts w:ascii="BaskervilleT" w:hAnsi="BaskervilleT"/>
                <w:sz w:val="24"/>
                <w:szCs w:val="24"/>
              </w:rPr>
            </w:pPr>
            <w:r w:rsidRPr="002E1A9C">
              <w:rPr>
                <w:rFonts w:ascii="BaskervilleT" w:hAnsi="BaskervilleT"/>
                <w:sz w:val="24"/>
                <w:szCs w:val="24"/>
              </w:rPr>
              <w:t>La duración podrá ser modificada conforme a lo determine la Asamblea Extraordinaria de Partícipes.</w:t>
            </w:r>
          </w:p>
        </w:tc>
      </w:tr>
      <w:bookmarkEnd w:id="7"/>
      <w:tr w:rsidR="00517046" w:rsidRPr="002E1A9C" w14:paraId="0CB015EC" w14:textId="77777777" w:rsidTr="00B97BDC">
        <w:tc>
          <w:tcPr>
            <w:tcW w:w="0" w:type="auto"/>
            <w:shd w:val="clear" w:color="auto" w:fill="auto"/>
            <w:tcMar>
              <w:top w:w="100" w:type="dxa"/>
              <w:left w:w="100" w:type="dxa"/>
              <w:bottom w:w="100" w:type="dxa"/>
              <w:right w:w="100" w:type="dxa"/>
            </w:tcMar>
          </w:tcPr>
          <w:p w14:paraId="7AD4EB20" w14:textId="6B53B121" w:rsidR="00517046" w:rsidRPr="002E1A9C" w:rsidRDefault="00517046" w:rsidP="00FA0B4A">
            <w:pPr>
              <w:pStyle w:val="Prrafodelista"/>
              <w:widowControl w:val="0"/>
              <w:pBdr>
                <w:top w:val="nil"/>
                <w:left w:val="nil"/>
                <w:bottom w:val="nil"/>
                <w:right w:val="nil"/>
                <w:between w:val="nil"/>
              </w:pBdr>
              <w:spacing w:line="240" w:lineRule="atLeast"/>
              <w:ind w:left="0"/>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 xml:space="preserve">Tipo de </w:t>
            </w:r>
            <w:r w:rsidR="001E11CE" w:rsidRPr="002E1A9C">
              <w:rPr>
                <w:rFonts w:ascii="BaskervilleT" w:eastAsia="Times New Roman" w:hAnsi="BaskervilleT" w:cs="Times New Roman"/>
                <w:sz w:val="24"/>
                <w:szCs w:val="24"/>
              </w:rPr>
              <w:t>i</w:t>
            </w:r>
            <w:r w:rsidRPr="002E1A9C">
              <w:rPr>
                <w:rFonts w:ascii="BaskervilleT" w:eastAsia="Times New Roman" w:hAnsi="BaskervilleT" w:cs="Times New Roman"/>
                <w:sz w:val="24"/>
                <w:szCs w:val="24"/>
              </w:rPr>
              <w:t>nversionista:</w:t>
            </w:r>
          </w:p>
        </w:tc>
        <w:tc>
          <w:tcPr>
            <w:tcW w:w="5025" w:type="dxa"/>
            <w:shd w:val="clear" w:color="auto" w:fill="F2F2F2" w:themeFill="background1" w:themeFillShade="F2"/>
            <w:tcMar>
              <w:top w:w="100" w:type="dxa"/>
              <w:left w:w="100" w:type="dxa"/>
              <w:bottom w:w="100" w:type="dxa"/>
              <w:right w:w="100" w:type="dxa"/>
            </w:tcMar>
          </w:tcPr>
          <w:p w14:paraId="554D2C7A" w14:textId="41756587" w:rsidR="00C24E88" w:rsidRPr="002E1A9C" w:rsidRDefault="004F0B6D" w:rsidP="00FA0B4A">
            <w:pPr>
              <w:spacing w:line="240" w:lineRule="atLeast"/>
              <w:jc w:val="both"/>
              <w:rPr>
                <w:rFonts w:ascii="BaskervilleT" w:eastAsia="Times New Roman" w:hAnsi="BaskervilleT" w:cs="Times New Roman"/>
                <w:sz w:val="24"/>
                <w:szCs w:val="24"/>
              </w:rPr>
            </w:pPr>
            <w:sdt>
              <w:sdtPr>
                <w:rPr>
                  <w:rFonts w:ascii="BaskervilleT" w:eastAsia="Times New Roman" w:hAnsi="BaskervilleT" w:cs="Times New Roman"/>
                  <w:sz w:val="24"/>
                  <w:szCs w:val="24"/>
                </w:rPr>
                <w:id w:val="-311176024"/>
                <w:placeholder>
                  <w:docPart w:val="61AB50C7B4BD4320B48FF5B43AA4B925"/>
                </w:placeholder>
                <w:showingPlcHdr/>
                <w:comboBox>
                  <w:listItem w:value="Elija un elemento."/>
                  <w:listItem w:displayText="Calificado" w:value="Calificado"/>
                  <w:listItem w:displayText="Institucional" w:value="Institucional"/>
                  <w:listItem w:displayText="Público en general" w:value="Público en general"/>
                </w:comboBox>
              </w:sdtPr>
              <w:sdtEndPr/>
              <w:sdtContent>
                <w:r w:rsidR="00C24E88" w:rsidRPr="002E1A9C">
                  <w:rPr>
                    <w:rStyle w:val="Textodelmarcadordeposicin"/>
                    <w:rFonts w:ascii="BaskervilleT" w:hAnsi="BaskervilleT"/>
                    <w:sz w:val="24"/>
                    <w:szCs w:val="24"/>
                    <w:highlight w:val="lightGray"/>
                  </w:rPr>
                  <w:t>Elija un elemento.</w:t>
                </w:r>
              </w:sdtContent>
            </w:sdt>
          </w:p>
        </w:tc>
      </w:tr>
      <w:tr w:rsidR="00517046" w:rsidRPr="002E1A9C" w14:paraId="5C4B4A8C" w14:textId="77777777" w:rsidTr="00B97BDC">
        <w:tc>
          <w:tcPr>
            <w:tcW w:w="0" w:type="auto"/>
            <w:shd w:val="clear" w:color="auto" w:fill="auto"/>
            <w:tcMar>
              <w:top w:w="100" w:type="dxa"/>
              <w:left w:w="100" w:type="dxa"/>
              <w:bottom w:w="100" w:type="dxa"/>
              <w:right w:w="100" w:type="dxa"/>
            </w:tcMar>
          </w:tcPr>
          <w:p w14:paraId="77E369E5" w14:textId="67A3AB3D" w:rsidR="00517046" w:rsidRPr="002E1A9C" w:rsidRDefault="00517046" w:rsidP="00FA0B4A">
            <w:pPr>
              <w:pStyle w:val="Prrafodelista"/>
              <w:widowControl w:val="0"/>
              <w:spacing w:line="240" w:lineRule="atLeast"/>
              <w:ind w:left="0"/>
              <w:contextualSpacing w:val="0"/>
              <w:jc w:val="both"/>
              <w:rPr>
                <w:rFonts w:ascii="BaskervilleT" w:hAnsi="BaskervilleT"/>
                <w:sz w:val="24"/>
                <w:szCs w:val="24"/>
              </w:rPr>
            </w:pPr>
            <w:r w:rsidRPr="002E1A9C">
              <w:rPr>
                <w:rFonts w:ascii="BaskervilleT" w:eastAsia="Times New Roman" w:hAnsi="BaskervilleT" w:cs="Times New Roman"/>
                <w:sz w:val="24"/>
                <w:szCs w:val="24"/>
              </w:rPr>
              <w:t>Entidad</w:t>
            </w:r>
            <w:r w:rsidR="00786C76" w:rsidRPr="002E1A9C">
              <w:rPr>
                <w:rFonts w:ascii="BaskervilleT" w:hAnsi="BaskervilleT"/>
                <w:sz w:val="24"/>
                <w:szCs w:val="24"/>
              </w:rPr>
              <w:t>/es</w:t>
            </w:r>
            <w:r w:rsidRPr="002E1A9C">
              <w:rPr>
                <w:rFonts w:ascii="BaskervilleT" w:hAnsi="BaskervilleT"/>
                <w:sz w:val="24"/>
                <w:szCs w:val="24"/>
              </w:rPr>
              <w:t xml:space="preserve"> de custodia de valores de la cartera del Fondo: </w:t>
            </w:r>
          </w:p>
        </w:tc>
        <w:tc>
          <w:tcPr>
            <w:tcW w:w="5025" w:type="dxa"/>
            <w:shd w:val="clear" w:color="auto" w:fill="F2F2F2" w:themeFill="background1" w:themeFillShade="F2"/>
            <w:tcMar>
              <w:top w:w="100" w:type="dxa"/>
              <w:left w:w="100" w:type="dxa"/>
              <w:bottom w:w="100" w:type="dxa"/>
              <w:right w:w="100" w:type="dxa"/>
            </w:tcMar>
          </w:tcPr>
          <w:p w14:paraId="23074941" w14:textId="77777777" w:rsidR="003B1566"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697589146"/>
                <w14:checkbox>
                  <w14:checked w14:val="0"/>
                  <w14:checkedState w14:val="2612" w14:font="MS Gothic"/>
                  <w14:uncheckedState w14:val="2610" w14:font="MS Gothic"/>
                </w14:checkbox>
              </w:sdtPr>
              <w:sdtEndPr/>
              <w:sdtContent>
                <w:r w:rsidR="003B1566" w:rsidRPr="002E1A9C">
                  <w:rPr>
                    <w:rFonts w:ascii="Segoe UI Symbol" w:hAnsi="Segoe UI Symbol" w:cs="Segoe UI Symbol"/>
                    <w:sz w:val="24"/>
                    <w:szCs w:val="24"/>
                  </w:rPr>
                  <w:t>☐</w:t>
                </w:r>
              </w:sdtContent>
            </w:sdt>
            <w:r w:rsidR="003B1566" w:rsidRPr="002E1A9C">
              <w:rPr>
                <w:rFonts w:ascii="BaskervilleT" w:hAnsi="BaskervilleT"/>
                <w:sz w:val="24"/>
                <w:szCs w:val="24"/>
              </w:rPr>
              <w:t xml:space="preserve"> Casa de Bolsa</w:t>
            </w:r>
          </w:p>
          <w:p w14:paraId="69920153" w14:textId="77777777" w:rsidR="003B1566"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1662891610"/>
                <w14:checkbox>
                  <w14:checked w14:val="0"/>
                  <w14:checkedState w14:val="2612" w14:font="MS Gothic"/>
                  <w14:uncheckedState w14:val="2610" w14:font="MS Gothic"/>
                </w14:checkbox>
              </w:sdtPr>
              <w:sdtEndPr/>
              <w:sdtContent>
                <w:r w:rsidR="003B1566" w:rsidRPr="002E1A9C">
                  <w:rPr>
                    <w:rFonts w:ascii="Segoe UI Symbol" w:hAnsi="Segoe UI Symbol" w:cs="Segoe UI Symbol"/>
                    <w:sz w:val="24"/>
                    <w:szCs w:val="24"/>
                  </w:rPr>
                  <w:t>☐</w:t>
                </w:r>
              </w:sdtContent>
            </w:sdt>
            <w:r w:rsidR="003B1566" w:rsidRPr="002E1A9C">
              <w:rPr>
                <w:rFonts w:ascii="BaskervilleT" w:hAnsi="BaskervilleT"/>
                <w:sz w:val="24"/>
                <w:szCs w:val="24"/>
              </w:rPr>
              <w:t xml:space="preserve"> Administradora de Fondos de Inversión</w:t>
            </w:r>
          </w:p>
          <w:p w14:paraId="4C6FF495" w14:textId="77777777" w:rsidR="00B21CBE"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173353484"/>
                <w14:checkbox>
                  <w14:checked w14:val="0"/>
                  <w14:checkedState w14:val="2612" w14:font="MS Gothic"/>
                  <w14:uncheckedState w14:val="2610" w14:font="MS Gothic"/>
                </w14:checkbox>
              </w:sdtPr>
              <w:sdtEndPr/>
              <w:sdtContent>
                <w:r w:rsidR="00B21CBE" w:rsidRPr="002E1A9C">
                  <w:rPr>
                    <w:rFonts w:ascii="Segoe UI Symbol" w:eastAsia="MS Gothic" w:hAnsi="Segoe UI Symbol" w:cs="Segoe UI Symbol"/>
                    <w:sz w:val="24"/>
                    <w:szCs w:val="24"/>
                  </w:rPr>
                  <w:t>☐</w:t>
                </w:r>
              </w:sdtContent>
            </w:sdt>
            <w:r w:rsidR="003B1566" w:rsidRPr="002E1A9C">
              <w:rPr>
                <w:rFonts w:ascii="BaskervilleT" w:hAnsi="BaskervilleT"/>
                <w:sz w:val="24"/>
                <w:szCs w:val="24"/>
              </w:rPr>
              <w:t xml:space="preserve"> Caja de Valores</w:t>
            </w:r>
          </w:p>
          <w:p w14:paraId="33B6200C" w14:textId="12283E61" w:rsidR="00B21CBE"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1334910693"/>
                <w14:checkbox>
                  <w14:checked w14:val="0"/>
                  <w14:checkedState w14:val="2612" w14:font="MS Gothic"/>
                  <w14:uncheckedState w14:val="2610" w14:font="MS Gothic"/>
                </w14:checkbox>
              </w:sdtPr>
              <w:sdtEndPr/>
              <w:sdtContent>
                <w:r w:rsidR="00B21CBE" w:rsidRPr="002E1A9C">
                  <w:rPr>
                    <w:rFonts w:ascii="Segoe UI Symbol" w:hAnsi="Segoe UI Symbol" w:cs="Segoe UI Symbol"/>
                    <w:sz w:val="24"/>
                    <w:szCs w:val="24"/>
                  </w:rPr>
                  <w:t>☐</w:t>
                </w:r>
              </w:sdtContent>
            </w:sdt>
            <w:r w:rsidR="00B21CBE" w:rsidRPr="002E1A9C">
              <w:rPr>
                <w:rFonts w:ascii="BaskervilleT" w:hAnsi="BaskervilleT"/>
                <w:sz w:val="24"/>
                <w:szCs w:val="24"/>
              </w:rPr>
              <w:t xml:space="preserve"> Bolsa de Valores de Asunción</w:t>
            </w:r>
          </w:p>
          <w:p w14:paraId="6CF83C75" w14:textId="7A3F0D39" w:rsidR="00B21CBE"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699129902"/>
                <w14:checkbox>
                  <w14:checked w14:val="0"/>
                  <w14:checkedState w14:val="2612" w14:font="MS Gothic"/>
                  <w14:uncheckedState w14:val="2610" w14:font="MS Gothic"/>
                </w14:checkbox>
              </w:sdtPr>
              <w:sdtEndPr/>
              <w:sdtContent>
                <w:r w:rsidR="00B21CBE" w:rsidRPr="002E1A9C">
                  <w:rPr>
                    <w:rFonts w:ascii="Segoe UI Symbol" w:hAnsi="Segoe UI Symbol" w:cs="Segoe UI Symbol"/>
                    <w:sz w:val="24"/>
                    <w:szCs w:val="24"/>
                  </w:rPr>
                  <w:t>☐</w:t>
                </w:r>
              </w:sdtContent>
            </w:sdt>
            <w:r w:rsidR="00B21CBE" w:rsidRPr="002E1A9C">
              <w:rPr>
                <w:rFonts w:ascii="BaskervilleT" w:hAnsi="BaskervilleT"/>
                <w:sz w:val="24"/>
                <w:szCs w:val="24"/>
              </w:rPr>
              <w:t xml:space="preserve"> Banco</w:t>
            </w:r>
            <w:r w:rsidR="006369BE" w:rsidRPr="002E1A9C">
              <w:rPr>
                <w:rFonts w:ascii="BaskervilleT" w:hAnsi="BaskervilleT"/>
                <w:sz w:val="24"/>
                <w:szCs w:val="24"/>
              </w:rPr>
              <w:t>s</w:t>
            </w:r>
          </w:p>
          <w:p w14:paraId="6A626861" w14:textId="10B05BDD" w:rsidR="00517046" w:rsidRPr="002E1A9C" w:rsidRDefault="004F0B6D" w:rsidP="00FA0B4A">
            <w:pPr>
              <w:tabs>
                <w:tab w:val="left" w:pos="689"/>
              </w:tabs>
              <w:spacing w:line="320" w:lineRule="exact"/>
              <w:jc w:val="both"/>
              <w:rPr>
                <w:rFonts w:ascii="BaskervilleT" w:hAnsi="BaskervilleT"/>
                <w:sz w:val="24"/>
                <w:szCs w:val="24"/>
              </w:rPr>
            </w:pPr>
            <w:sdt>
              <w:sdtPr>
                <w:rPr>
                  <w:rFonts w:ascii="BaskervilleT" w:hAnsi="BaskervilleT"/>
                  <w:sz w:val="24"/>
                  <w:szCs w:val="24"/>
                </w:rPr>
                <w:id w:val="-1225295489"/>
                <w14:checkbox>
                  <w14:checked w14:val="0"/>
                  <w14:checkedState w14:val="2612" w14:font="MS Gothic"/>
                  <w14:uncheckedState w14:val="2610" w14:font="MS Gothic"/>
                </w14:checkbox>
              </w:sdtPr>
              <w:sdtEndPr/>
              <w:sdtContent>
                <w:r w:rsidR="00B21CBE" w:rsidRPr="002E1A9C">
                  <w:rPr>
                    <w:rFonts w:ascii="Segoe UI Symbol" w:hAnsi="Segoe UI Symbol" w:cs="Segoe UI Symbol"/>
                    <w:sz w:val="24"/>
                    <w:szCs w:val="24"/>
                  </w:rPr>
                  <w:t>☐</w:t>
                </w:r>
              </w:sdtContent>
            </w:sdt>
            <w:r w:rsidR="00B21CBE" w:rsidRPr="002E1A9C">
              <w:rPr>
                <w:rFonts w:ascii="BaskervilleT" w:hAnsi="BaskervilleT"/>
                <w:sz w:val="24"/>
                <w:szCs w:val="24"/>
              </w:rPr>
              <w:t xml:space="preserve"> Otros</w:t>
            </w:r>
          </w:p>
        </w:tc>
      </w:tr>
      <w:tr w:rsidR="00517046" w:rsidRPr="002E1A9C" w14:paraId="11E5A65E" w14:textId="77777777" w:rsidTr="00B97BDC">
        <w:tc>
          <w:tcPr>
            <w:tcW w:w="0" w:type="auto"/>
            <w:shd w:val="clear" w:color="auto" w:fill="auto"/>
            <w:tcMar>
              <w:top w:w="100" w:type="dxa"/>
              <w:left w:w="100" w:type="dxa"/>
              <w:bottom w:w="100" w:type="dxa"/>
              <w:right w:w="100" w:type="dxa"/>
            </w:tcMar>
          </w:tcPr>
          <w:p w14:paraId="1CE1A8E4" w14:textId="1D6F504C" w:rsidR="00517046" w:rsidRPr="002E1A9C" w:rsidRDefault="00517046" w:rsidP="00FA0B4A">
            <w:pPr>
              <w:pStyle w:val="Prrafodelista"/>
              <w:widowControl w:val="0"/>
              <w:pBdr>
                <w:top w:val="nil"/>
                <w:left w:val="nil"/>
                <w:bottom w:val="nil"/>
                <w:right w:val="nil"/>
                <w:between w:val="nil"/>
              </w:pBdr>
              <w:spacing w:line="240" w:lineRule="atLeast"/>
              <w:ind w:left="0"/>
              <w:contextualSpacing w:val="0"/>
              <w:jc w:val="both"/>
              <w:rPr>
                <w:rFonts w:ascii="BaskervilleT" w:eastAsia="Times New Roman" w:hAnsi="BaskervilleT" w:cs="Times New Roman"/>
                <w:sz w:val="24"/>
                <w:szCs w:val="24"/>
              </w:rPr>
            </w:pPr>
            <w:bookmarkStart w:id="8" w:name="_Hlk176967914"/>
            <w:r w:rsidRPr="002E1A9C">
              <w:rPr>
                <w:rFonts w:ascii="BaskervilleT" w:eastAsia="Times New Roman" w:hAnsi="BaskervilleT" w:cs="Times New Roman"/>
                <w:sz w:val="24"/>
                <w:szCs w:val="24"/>
              </w:rPr>
              <w:t>Valor inicial de cada cuota:</w:t>
            </w:r>
          </w:p>
        </w:tc>
        <w:tc>
          <w:tcPr>
            <w:tcW w:w="5025" w:type="dxa"/>
            <w:shd w:val="clear" w:color="auto" w:fill="F2F2F2" w:themeFill="background1" w:themeFillShade="F2"/>
            <w:tcMar>
              <w:top w:w="100" w:type="dxa"/>
              <w:left w:w="100" w:type="dxa"/>
              <w:bottom w:w="100" w:type="dxa"/>
              <w:right w:w="100" w:type="dxa"/>
            </w:tcMar>
          </w:tcPr>
          <w:p w14:paraId="5A3C7E13" w14:textId="627737F0" w:rsidR="00517046" w:rsidRPr="002E1A9C" w:rsidRDefault="00B97BDC" w:rsidP="00FA0B4A">
            <w:pPr>
              <w:jc w:val="both"/>
              <w:rPr>
                <w:rFonts w:ascii="BaskervilleT" w:hAnsi="BaskervilleT"/>
                <w:color w:val="808080" w:themeColor="background1" w:themeShade="80"/>
                <w:sz w:val="24"/>
                <w:szCs w:val="24"/>
              </w:rPr>
            </w:pPr>
            <w:r>
              <w:rPr>
                <w:rFonts w:ascii="BaskervilleT" w:hAnsi="BaskervilleT"/>
                <w:color w:val="808080" w:themeColor="background1" w:themeShade="80"/>
                <w:sz w:val="24"/>
                <w:szCs w:val="24"/>
              </w:rPr>
              <w:fldChar w:fldCharType="begin">
                <w:ffData>
                  <w:name w:val=""/>
                  <w:enabled/>
                  <w:calcOnExit w:val="0"/>
                  <w:textInput>
                    <w:default w:val="Indicar el valor inicial de cada cuota en números y letras. "/>
                  </w:textInput>
                </w:ffData>
              </w:fldChar>
            </w:r>
            <w:r>
              <w:rPr>
                <w:rFonts w:ascii="BaskervilleT" w:hAnsi="BaskervilleT"/>
                <w:color w:val="808080" w:themeColor="background1" w:themeShade="80"/>
                <w:sz w:val="24"/>
                <w:szCs w:val="24"/>
              </w:rPr>
              <w:instrText xml:space="preserve"> FORMTEXT </w:instrText>
            </w:r>
            <w:r>
              <w:rPr>
                <w:rFonts w:ascii="BaskervilleT" w:hAnsi="BaskervilleT"/>
                <w:color w:val="808080" w:themeColor="background1" w:themeShade="80"/>
                <w:sz w:val="24"/>
                <w:szCs w:val="24"/>
              </w:rPr>
            </w:r>
            <w:r>
              <w:rPr>
                <w:rFonts w:ascii="BaskervilleT" w:hAnsi="BaskervilleT"/>
                <w:color w:val="808080" w:themeColor="background1" w:themeShade="80"/>
                <w:sz w:val="24"/>
                <w:szCs w:val="24"/>
              </w:rPr>
              <w:fldChar w:fldCharType="separate"/>
            </w:r>
            <w:r>
              <w:rPr>
                <w:rFonts w:ascii="BaskervilleT" w:hAnsi="BaskervilleT"/>
                <w:noProof/>
                <w:color w:val="808080" w:themeColor="background1" w:themeShade="80"/>
                <w:sz w:val="24"/>
                <w:szCs w:val="24"/>
              </w:rPr>
              <w:t xml:space="preserve">Indicar el valor inicial de cada cuota en números y letras. </w:t>
            </w:r>
            <w:r>
              <w:rPr>
                <w:rFonts w:ascii="BaskervilleT" w:hAnsi="BaskervilleT"/>
                <w:color w:val="808080" w:themeColor="background1" w:themeShade="80"/>
                <w:sz w:val="24"/>
                <w:szCs w:val="24"/>
              </w:rPr>
              <w:fldChar w:fldCharType="end"/>
            </w:r>
          </w:p>
        </w:tc>
      </w:tr>
      <w:tr w:rsidR="00517046" w:rsidRPr="002E1A9C" w14:paraId="68609B31" w14:textId="77777777" w:rsidTr="00B97BDC">
        <w:tc>
          <w:tcPr>
            <w:tcW w:w="0" w:type="auto"/>
            <w:shd w:val="clear" w:color="auto" w:fill="auto"/>
            <w:tcMar>
              <w:top w:w="100" w:type="dxa"/>
              <w:left w:w="100" w:type="dxa"/>
              <w:bottom w:w="100" w:type="dxa"/>
              <w:right w:w="100" w:type="dxa"/>
            </w:tcMar>
          </w:tcPr>
          <w:p w14:paraId="322C26E9" w14:textId="6E533548" w:rsidR="00517046" w:rsidRPr="002E1A9C" w:rsidRDefault="00517046" w:rsidP="00FA0B4A">
            <w:pPr>
              <w:pStyle w:val="Prrafodelista"/>
              <w:widowControl w:val="0"/>
              <w:pBdr>
                <w:top w:val="nil"/>
                <w:left w:val="nil"/>
                <w:bottom w:val="nil"/>
                <w:right w:val="nil"/>
                <w:between w:val="nil"/>
              </w:pBdr>
              <w:spacing w:line="240" w:lineRule="atLeast"/>
              <w:ind w:hanging="720"/>
              <w:contextualSpacing w:val="0"/>
              <w:jc w:val="both"/>
              <w:rPr>
                <w:rFonts w:ascii="BaskervilleT" w:hAnsi="BaskervilleT"/>
                <w:sz w:val="24"/>
                <w:szCs w:val="24"/>
              </w:rPr>
            </w:pPr>
            <w:r w:rsidRPr="002E1A9C">
              <w:rPr>
                <w:rFonts w:ascii="BaskervilleT" w:hAnsi="BaskervilleT"/>
                <w:sz w:val="24"/>
                <w:szCs w:val="24"/>
              </w:rPr>
              <w:t xml:space="preserve">Patrimonio mínimo del </w:t>
            </w:r>
            <w:r w:rsidR="00106838" w:rsidRPr="002E1A9C">
              <w:rPr>
                <w:rFonts w:ascii="BaskervilleT" w:hAnsi="BaskervilleT"/>
                <w:sz w:val="24"/>
                <w:szCs w:val="24"/>
              </w:rPr>
              <w:t>F</w:t>
            </w:r>
            <w:r w:rsidRPr="002E1A9C">
              <w:rPr>
                <w:rFonts w:ascii="BaskervilleT" w:hAnsi="BaskervilleT"/>
                <w:sz w:val="24"/>
                <w:szCs w:val="24"/>
              </w:rPr>
              <w:t>ondo:</w:t>
            </w:r>
          </w:p>
        </w:tc>
        <w:tc>
          <w:tcPr>
            <w:tcW w:w="5025" w:type="dxa"/>
            <w:shd w:val="clear" w:color="auto" w:fill="F2F2F2" w:themeFill="background1" w:themeFillShade="F2"/>
            <w:tcMar>
              <w:top w:w="100" w:type="dxa"/>
              <w:left w:w="100" w:type="dxa"/>
              <w:bottom w:w="100" w:type="dxa"/>
              <w:right w:w="100" w:type="dxa"/>
            </w:tcMar>
          </w:tcPr>
          <w:p w14:paraId="5DBD8F98" w14:textId="4E922CAF" w:rsidR="00517046" w:rsidRPr="002E1A9C" w:rsidRDefault="00B97BDC" w:rsidP="00FA0B4A">
            <w:pPr>
              <w:jc w:val="both"/>
              <w:rPr>
                <w:rFonts w:ascii="BaskervilleT" w:hAnsi="BaskervilleT"/>
                <w:color w:val="808080" w:themeColor="background1" w:themeShade="80"/>
                <w:sz w:val="24"/>
                <w:szCs w:val="24"/>
              </w:rPr>
            </w:pPr>
            <w:r>
              <w:rPr>
                <w:rFonts w:ascii="BaskervilleT" w:hAnsi="BaskervilleT"/>
                <w:color w:val="808080" w:themeColor="background1" w:themeShade="80"/>
                <w:sz w:val="24"/>
                <w:szCs w:val="24"/>
              </w:rPr>
              <w:fldChar w:fldCharType="begin">
                <w:ffData>
                  <w:name w:val=""/>
                  <w:enabled/>
                  <w:calcOnExit w:val="0"/>
                  <w:textInput>
                    <w:default w:val="Indicar el valor del patrimonio mínimo del Fondo en números y letras."/>
                  </w:textInput>
                </w:ffData>
              </w:fldChar>
            </w:r>
            <w:r>
              <w:rPr>
                <w:rFonts w:ascii="BaskervilleT" w:hAnsi="BaskervilleT"/>
                <w:color w:val="808080" w:themeColor="background1" w:themeShade="80"/>
                <w:sz w:val="24"/>
                <w:szCs w:val="24"/>
              </w:rPr>
              <w:instrText xml:space="preserve"> FORMTEXT </w:instrText>
            </w:r>
            <w:r>
              <w:rPr>
                <w:rFonts w:ascii="BaskervilleT" w:hAnsi="BaskervilleT"/>
                <w:color w:val="808080" w:themeColor="background1" w:themeShade="80"/>
                <w:sz w:val="24"/>
                <w:szCs w:val="24"/>
              </w:rPr>
            </w:r>
            <w:r>
              <w:rPr>
                <w:rFonts w:ascii="BaskervilleT" w:hAnsi="BaskervilleT"/>
                <w:color w:val="808080" w:themeColor="background1" w:themeShade="80"/>
                <w:sz w:val="24"/>
                <w:szCs w:val="24"/>
              </w:rPr>
              <w:fldChar w:fldCharType="separate"/>
            </w:r>
            <w:r>
              <w:rPr>
                <w:rFonts w:ascii="BaskervilleT" w:hAnsi="BaskervilleT"/>
                <w:noProof/>
                <w:color w:val="808080" w:themeColor="background1" w:themeShade="80"/>
                <w:sz w:val="24"/>
                <w:szCs w:val="24"/>
              </w:rPr>
              <w:t>Indicar el valor del patrimonio mínimo del Fondo en números y letras.</w:t>
            </w:r>
            <w:r>
              <w:rPr>
                <w:rFonts w:ascii="BaskervilleT" w:hAnsi="BaskervilleT"/>
                <w:color w:val="808080" w:themeColor="background1" w:themeShade="80"/>
                <w:sz w:val="24"/>
                <w:szCs w:val="24"/>
              </w:rPr>
              <w:fldChar w:fldCharType="end"/>
            </w:r>
          </w:p>
        </w:tc>
      </w:tr>
      <w:tr w:rsidR="00517046" w:rsidRPr="002E1A9C" w14:paraId="11C4A50C" w14:textId="77777777" w:rsidTr="00B97BDC">
        <w:tc>
          <w:tcPr>
            <w:tcW w:w="0" w:type="auto"/>
            <w:shd w:val="clear" w:color="auto" w:fill="auto"/>
            <w:tcMar>
              <w:top w:w="100" w:type="dxa"/>
              <w:left w:w="100" w:type="dxa"/>
              <w:bottom w:w="100" w:type="dxa"/>
              <w:right w:w="100" w:type="dxa"/>
            </w:tcMar>
          </w:tcPr>
          <w:p w14:paraId="5D2E9B17" w14:textId="79C345D4" w:rsidR="00517046" w:rsidRPr="002E1A9C" w:rsidRDefault="00517046" w:rsidP="00FA0B4A">
            <w:pPr>
              <w:pStyle w:val="Prrafodelista"/>
              <w:widowControl w:val="0"/>
              <w:pBdr>
                <w:top w:val="nil"/>
                <w:left w:val="nil"/>
                <w:bottom w:val="nil"/>
                <w:right w:val="nil"/>
                <w:between w:val="nil"/>
              </w:pBdr>
              <w:spacing w:line="240" w:lineRule="atLeast"/>
              <w:ind w:left="0"/>
              <w:contextualSpacing w:val="0"/>
              <w:jc w:val="both"/>
              <w:rPr>
                <w:rFonts w:ascii="BaskervilleT" w:hAnsi="BaskervilleT"/>
                <w:sz w:val="24"/>
                <w:szCs w:val="24"/>
              </w:rPr>
            </w:pPr>
            <w:r w:rsidRPr="002E1A9C">
              <w:rPr>
                <w:rFonts w:ascii="BaskervilleT" w:hAnsi="BaskervilleT"/>
                <w:sz w:val="24"/>
                <w:szCs w:val="24"/>
              </w:rPr>
              <w:t xml:space="preserve">Patrimonio máximo del </w:t>
            </w:r>
            <w:r w:rsidR="00106838" w:rsidRPr="002E1A9C">
              <w:rPr>
                <w:rFonts w:ascii="BaskervilleT" w:hAnsi="BaskervilleT"/>
                <w:sz w:val="24"/>
                <w:szCs w:val="24"/>
              </w:rPr>
              <w:t>F</w:t>
            </w:r>
            <w:r w:rsidRPr="002E1A9C">
              <w:rPr>
                <w:rFonts w:ascii="BaskervilleT" w:hAnsi="BaskervilleT"/>
                <w:sz w:val="24"/>
                <w:szCs w:val="24"/>
              </w:rPr>
              <w:t>ondo:</w:t>
            </w:r>
          </w:p>
        </w:tc>
        <w:tc>
          <w:tcPr>
            <w:tcW w:w="5025" w:type="dxa"/>
            <w:shd w:val="clear" w:color="auto" w:fill="F2F2F2" w:themeFill="background1" w:themeFillShade="F2"/>
            <w:tcMar>
              <w:top w:w="100" w:type="dxa"/>
              <w:left w:w="100" w:type="dxa"/>
              <w:bottom w:w="100" w:type="dxa"/>
              <w:right w:w="100" w:type="dxa"/>
            </w:tcMar>
          </w:tcPr>
          <w:p w14:paraId="4C3A9B40" w14:textId="2F4FB36A" w:rsidR="00517046" w:rsidRPr="002E1A9C" w:rsidRDefault="00B97BDC" w:rsidP="00FA0B4A">
            <w:pPr>
              <w:jc w:val="both"/>
              <w:rPr>
                <w:rFonts w:ascii="BaskervilleT" w:hAnsi="BaskervilleT"/>
                <w:color w:val="808080" w:themeColor="background1" w:themeShade="80"/>
                <w:sz w:val="24"/>
                <w:szCs w:val="24"/>
              </w:rPr>
            </w:pPr>
            <w:r>
              <w:rPr>
                <w:rFonts w:ascii="BaskervilleT" w:hAnsi="BaskervilleT"/>
                <w:color w:val="808080" w:themeColor="background1" w:themeShade="80"/>
                <w:sz w:val="24"/>
                <w:szCs w:val="24"/>
                <w:highlight w:val="lightGray"/>
              </w:rPr>
              <w:fldChar w:fldCharType="begin">
                <w:ffData>
                  <w:name w:val=""/>
                  <w:enabled/>
                  <w:calcOnExit w:val="0"/>
                  <w:textInput>
                    <w:default w:val="Indicar el valor del patrimonio máximo del Fondo en números y letras."/>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Indicar el valor del patrimonio máximo del Fondo en números y letras.</w:t>
            </w:r>
            <w:r>
              <w:rPr>
                <w:rFonts w:ascii="BaskervilleT" w:hAnsi="BaskervilleT"/>
                <w:color w:val="808080" w:themeColor="background1" w:themeShade="80"/>
                <w:sz w:val="24"/>
                <w:szCs w:val="24"/>
                <w:highlight w:val="lightGray"/>
              </w:rPr>
              <w:fldChar w:fldCharType="end"/>
            </w:r>
          </w:p>
        </w:tc>
      </w:tr>
      <w:tr w:rsidR="00517046" w:rsidRPr="002E1A9C" w14:paraId="1908D6D8" w14:textId="77777777" w:rsidTr="00B97BDC">
        <w:tc>
          <w:tcPr>
            <w:tcW w:w="0" w:type="auto"/>
            <w:shd w:val="clear" w:color="auto" w:fill="auto"/>
            <w:tcMar>
              <w:top w:w="100" w:type="dxa"/>
              <w:left w:w="100" w:type="dxa"/>
              <w:bottom w:w="100" w:type="dxa"/>
              <w:right w:w="100" w:type="dxa"/>
            </w:tcMar>
          </w:tcPr>
          <w:p w14:paraId="11D0AB33" w14:textId="624C3D67" w:rsidR="00517046" w:rsidRPr="002E1A9C" w:rsidRDefault="00517046" w:rsidP="00FA0B4A">
            <w:pPr>
              <w:pStyle w:val="Default"/>
              <w:spacing w:line="240" w:lineRule="atLeast"/>
              <w:jc w:val="both"/>
              <w:rPr>
                <w:rFonts w:ascii="BaskervilleT" w:hAnsi="BaskervilleT"/>
              </w:rPr>
            </w:pPr>
            <w:r w:rsidRPr="002E1A9C">
              <w:rPr>
                <w:rFonts w:ascii="BaskervilleT" w:hAnsi="BaskervilleT"/>
              </w:rPr>
              <w:lastRenderedPageBreak/>
              <w:t>Plazo de Colocación</w:t>
            </w:r>
            <w:r w:rsidR="00311B93" w:rsidRPr="002E1A9C">
              <w:rPr>
                <w:rFonts w:ascii="BaskervilleT" w:hAnsi="BaskervilleT"/>
              </w:rPr>
              <w:t>.</w:t>
            </w:r>
          </w:p>
        </w:tc>
        <w:tc>
          <w:tcPr>
            <w:tcW w:w="5025" w:type="dxa"/>
            <w:shd w:val="clear" w:color="auto" w:fill="F2F2F2" w:themeFill="background1" w:themeFillShade="F2"/>
            <w:tcMar>
              <w:top w:w="100" w:type="dxa"/>
              <w:left w:w="100" w:type="dxa"/>
              <w:bottom w:w="100" w:type="dxa"/>
              <w:right w:w="100" w:type="dxa"/>
            </w:tcMar>
          </w:tcPr>
          <w:p w14:paraId="0D448757" w14:textId="65B6CA52" w:rsidR="0046481B" w:rsidRPr="002E1A9C" w:rsidRDefault="004F0B6D" w:rsidP="00FA0B4A">
            <w:pPr>
              <w:jc w:val="both"/>
              <w:rPr>
                <w:rFonts w:ascii="BaskervilleT" w:hAnsi="BaskervilleT"/>
                <w:sz w:val="24"/>
                <w:szCs w:val="24"/>
              </w:rPr>
            </w:pPr>
            <w:sdt>
              <w:sdtPr>
                <w:rPr>
                  <w:rFonts w:ascii="BaskervilleT" w:hAnsi="BaskervilleT"/>
                  <w:color w:val="808080" w:themeColor="background1" w:themeShade="80"/>
                  <w:sz w:val="24"/>
                  <w:szCs w:val="24"/>
                  <w:highlight w:val="lightGray"/>
                </w:rPr>
                <w:id w:val="438503648"/>
                <w:placeholder>
                  <w:docPart w:val="D0E78CC5EABA40E1B1E2D5B219980436"/>
                </w:placeholder>
                <w:showingPlcHdr/>
                <w:dropDownList>
                  <w:listItem w:value="Elija un elemento."/>
                  <w:listItem w:displayText="1 mes" w:value="1 mes"/>
                  <w:listItem w:displayText="2 meses" w:value="2 meses"/>
                  <w:listItem w:displayText="3 meses" w:value="3 meses"/>
                  <w:listItem w:displayText="4 meses" w:value="4 meses"/>
                  <w:listItem w:displayText="5 meses" w:value="5 meses"/>
                  <w:listItem w:displayText="6 meses" w:value="6 meses"/>
                  <w:listItem w:displayText="7 meses" w:value="7 meses"/>
                  <w:listItem w:displayText="8 meses" w:value="8 meses"/>
                  <w:listItem w:displayText="9 meses" w:value="9 meses"/>
                  <w:listItem w:displayText="10 meses" w:value="10 meses"/>
                  <w:listItem w:displayText="11 meses" w:value="11 meses"/>
                  <w:listItem w:displayText="12 meses" w:value="12 meses"/>
                </w:dropDownList>
              </w:sdtPr>
              <w:sdtEndPr/>
              <w:sdtContent>
                <w:r w:rsidR="0046481B" w:rsidRPr="002E1A9C">
                  <w:rPr>
                    <w:rStyle w:val="Textodelmarcadordeposicin"/>
                    <w:rFonts w:ascii="BaskervilleT" w:hAnsi="BaskervilleT"/>
                    <w:sz w:val="24"/>
                    <w:szCs w:val="24"/>
                    <w:highlight w:val="lightGray"/>
                  </w:rPr>
                  <w:t>Elija un elemento.</w:t>
                </w:r>
              </w:sdtContent>
            </w:sdt>
            <w:r w:rsidR="00A4493F" w:rsidRPr="002E1A9C">
              <w:rPr>
                <w:rFonts w:ascii="BaskervilleT" w:hAnsi="BaskervilleT"/>
                <w:color w:val="808080" w:themeColor="background1" w:themeShade="80"/>
                <w:sz w:val="24"/>
                <w:szCs w:val="24"/>
              </w:rPr>
              <w:t xml:space="preserve"> </w:t>
            </w:r>
            <w:r w:rsidR="0046481B" w:rsidRPr="002E1A9C">
              <w:rPr>
                <w:rFonts w:ascii="BaskervilleT" w:hAnsi="BaskervilleT"/>
                <w:sz w:val="24"/>
                <w:szCs w:val="24"/>
              </w:rPr>
              <w:t xml:space="preserve">contados desde la fecha de autorización por la Superintendencia de Valores. </w:t>
            </w:r>
            <w:r w:rsidR="00A4493F" w:rsidRPr="002E1A9C">
              <w:rPr>
                <w:rFonts w:ascii="BaskervilleT" w:hAnsi="BaskervilleT"/>
                <w:sz w:val="24"/>
                <w:szCs w:val="24"/>
              </w:rPr>
              <w:t>E</w:t>
            </w:r>
            <w:r w:rsidR="0046481B" w:rsidRPr="002E1A9C">
              <w:rPr>
                <w:rFonts w:ascii="BaskervilleT" w:hAnsi="BaskervilleT"/>
                <w:sz w:val="24"/>
                <w:szCs w:val="24"/>
              </w:rPr>
              <w:t>l plazo podrá ser prorrogado por dicha Superintendencia</w:t>
            </w:r>
            <w:r w:rsidR="00ED6459">
              <w:rPr>
                <w:rFonts w:ascii="BaskervilleT" w:hAnsi="BaskervilleT"/>
                <w:sz w:val="24"/>
                <w:szCs w:val="24"/>
              </w:rPr>
              <w:t>.</w:t>
            </w:r>
          </w:p>
        </w:tc>
      </w:tr>
    </w:tbl>
    <w:bookmarkEnd w:id="8"/>
    <w:p w14:paraId="535649D8" w14:textId="0B33D6F4" w:rsidR="00BD3D91" w:rsidRPr="002E1A9C" w:rsidRDefault="003E3929" w:rsidP="005066F0">
      <w:pPr>
        <w:pStyle w:val="Prrafodelista"/>
        <w:numPr>
          <w:ilvl w:val="0"/>
          <w:numId w:val="38"/>
        </w:numPr>
        <w:pBdr>
          <w:top w:val="nil"/>
          <w:left w:val="nil"/>
          <w:bottom w:val="nil"/>
          <w:right w:val="nil"/>
          <w:between w:val="nil"/>
        </w:pBdr>
        <w:spacing w:line="240" w:lineRule="atLeast"/>
        <w:jc w:val="both"/>
        <w:outlineLvl w:val="0"/>
        <w:rPr>
          <w:rFonts w:ascii="BaskervilleT" w:hAnsi="BaskervilleT"/>
          <w:b/>
          <w:sz w:val="24"/>
          <w:szCs w:val="24"/>
          <w:u w:val="single"/>
        </w:rPr>
      </w:pPr>
      <w:r w:rsidRPr="002E1A9C">
        <w:rPr>
          <w:rFonts w:ascii="BaskervilleT" w:hAnsi="BaskervilleT"/>
          <w:b/>
          <w:sz w:val="24"/>
          <w:szCs w:val="24"/>
          <w:u w:val="single"/>
        </w:rPr>
        <w:t>POLÍTICA DE INVERSIÓN</w:t>
      </w:r>
    </w:p>
    <w:p w14:paraId="33A93C3A" w14:textId="77777777" w:rsidR="00A80E00" w:rsidRPr="002E1A9C" w:rsidRDefault="00270BA9" w:rsidP="00FA0B4A">
      <w:pPr>
        <w:pStyle w:val="Prrafodelista"/>
        <w:numPr>
          <w:ilvl w:val="1"/>
          <w:numId w:val="38"/>
        </w:numPr>
        <w:spacing w:line="240" w:lineRule="atLeast"/>
        <w:contextualSpacing w:val="0"/>
        <w:jc w:val="both"/>
        <w:rPr>
          <w:rFonts w:ascii="BaskervilleT" w:hAnsi="BaskervilleT"/>
          <w:sz w:val="24"/>
          <w:szCs w:val="24"/>
          <w:lang w:val="es-PY"/>
        </w:rPr>
      </w:pPr>
      <w:r w:rsidRPr="002E1A9C">
        <w:rPr>
          <w:rFonts w:ascii="BaskervilleT" w:eastAsia="Times New Roman" w:hAnsi="BaskervilleT" w:cs="Times New Roman"/>
          <w:bCs/>
          <w:sz w:val="24"/>
          <w:szCs w:val="24"/>
          <w:lang w:val="es-PY"/>
        </w:rPr>
        <w:t xml:space="preserve">Para dar cumplimiento a su objeto de inversión, </w:t>
      </w:r>
      <w:r w:rsidRPr="002E1A9C">
        <w:rPr>
          <w:rFonts w:ascii="BaskervilleT" w:hAnsi="BaskervilleT"/>
          <w:sz w:val="24"/>
          <w:szCs w:val="24"/>
          <w:lang w:val="es-PY"/>
        </w:rPr>
        <w:t xml:space="preserve">el Fondo </w:t>
      </w:r>
      <w:r w:rsidRPr="002E1A9C">
        <w:rPr>
          <w:rFonts w:ascii="BaskervilleT" w:eastAsia="Times New Roman" w:hAnsi="BaskervilleT" w:cs="Times New Roman"/>
          <w:bCs/>
          <w:sz w:val="24"/>
          <w:szCs w:val="24"/>
          <w:lang w:val="es-PY"/>
        </w:rPr>
        <w:t xml:space="preserve">podrá invertir sus recursos en </w:t>
      </w:r>
      <w:r w:rsidRPr="002E1A9C">
        <w:rPr>
          <w:rFonts w:ascii="BaskervilleT" w:hAnsi="BaskervilleT"/>
          <w:sz w:val="24"/>
          <w:szCs w:val="24"/>
          <w:lang w:val="es-PY"/>
        </w:rPr>
        <w:t xml:space="preserve">los siguientes </w:t>
      </w:r>
      <w:r w:rsidRPr="002E1A9C">
        <w:rPr>
          <w:rFonts w:ascii="BaskervilleT" w:eastAsia="Times New Roman" w:hAnsi="BaskervilleT" w:cs="Times New Roman"/>
          <w:bCs/>
          <w:sz w:val="24"/>
          <w:szCs w:val="24"/>
          <w:lang w:val="es-PY"/>
        </w:rPr>
        <w:t>valores y bienes</w:t>
      </w:r>
      <w:r w:rsidR="00E863EC" w:rsidRPr="002E1A9C">
        <w:rPr>
          <w:rFonts w:ascii="BaskervilleT" w:eastAsia="Times New Roman" w:hAnsi="BaskervilleT" w:cs="Times New Roman"/>
          <w:sz w:val="24"/>
          <w:szCs w:val="24"/>
          <w:lang w:val="es-PY"/>
        </w:rPr>
        <w:t xml:space="preserve">, </w:t>
      </w:r>
      <w:r w:rsidR="00136527" w:rsidRPr="002E1A9C">
        <w:rPr>
          <w:rFonts w:ascii="BaskervilleT" w:eastAsia="Times New Roman" w:hAnsi="BaskervilleT" w:cs="Times New Roman"/>
          <w:sz w:val="24"/>
          <w:szCs w:val="24"/>
          <w:lang w:val="es-PY"/>
        </w:rPr>
        <w:t>de acuerdo con los</w:t>
      </w:r>
      <w:r w:rsidR="00E863EC" w:rsidRPr="002E1A9C">
        <w:rPr>
          <w:rFonts w:ascii="BaskervilleT" w:eastAsia="Times New Roman" w:hAnsi="BaskervilleT" w:cs="Times New Roman"/>
          <w:sz w:val="24"/>
          <w:szCs w:val="24"/>
          <w:lang w:val="es-PY"/>
        </w:rPr>
        <w:t xml:space="preserve"> siguiente</w:t>
      </w:r>
      <w:r w:rsidR="00136527" w:rsidRPr="002E1A9C">
        <w:rPr>
          <w:rFonts w:ascii="BaskervilleT" w:eastAsia="Times New Roman" w:hAnsi="BaskervilleT" w:cs="Times New Roman"/>
          <w:sz w:val="24"/>
          <w:szCs w:val="24"/>
          <w:lang w:val="es-PY"/>
        </w:rPr>
        <w:t>s</w:t>
      </w:r>
      <w:r w:rsidR="00E863EC" w:rsidRPr="002E1A9C">
        <w:rPr>
          <w:rFonts w:ascii="BaskervilleT" w:eastAsia="Times New Roman" w:hAnsi="BaskervilleT" w:cs="Times New Roman"/>
          <w:sz w:val="24"/>
          <w:szCs w:val="24"/>
          <w:lang w:val="es-PY"/>
        </w:rPr>
        <w:t xml:space="preserve"> límite</w:t>
      </w:r>
      <w:r w:rsidR="00136527" w:rsidRPr="002E1A9C">
        <w:rPr>
          <w:rFonts w:ascii="BaskervilleT" w:eastAsia="Times New Roman" w:hAnsi="BaskervilleT" w:cs="Times New Roman"/>
          <w:sz w:val="24"/>
          <w:szCs w:val="24"/>
          <w:lang w:val="es-PY"/>
        </w:rPr>
        <w:t>s</w:t>
      </w:r>
      <w:r w:rsidR="00E863EC" w:rsidRPr="002E1A9C">
        <w:rPr>
          <w:rFonts w:ascii="BaskervilleT" w:eastAsia="Times New Roman" w:hAnsi="BaskervilleT" w:cs="Times New Roman"/>
          <w:sz w:val="24"/>
          <w:szCs w:val="24"/>
          <w:lang w:val="es-PY"/>
        </w:rPr>
        <w:t xml:space="preserve"> de inversión por cada tipo de instrumento</w:t>
      </w:r>
      <w:r w:rsidR="00E863EC" w:rsidRPr="002E1A9C">
        <w:rPr>
          <w:rFonts w:ascii="BaskervilleT" w:hAnsi="BaskervilleT"/>
          <w:sz w:val="24"/>
          <w:szCs w:val="24"/>
          <w:lang w:val="es-PY"/>
        </w:rPr>
        <w:t xml:space="preserve">: </w:t>
      </w:r>
    </w:p>
    <w:p w14:paraId="42557893" w14:textId="4F6D46C3" w:rsidR="00BD3D91" w:rsidRPr="002E1A9C" w:rsidRDefault="00BD3D91" w:rsidP="00FA0B4A">
      <w:pPr>
        <w:pBdr>
          <w:top w:val="nil"/>
          <w:left w:val="nil"/>
          <w:bottom w:val="nil"/>
          <w:right w:val="nil"/>
          <w:between w:val="nil"/>
        </w:pBdr>
        <w:tabs>
          <w:tab w:val="left" w:pos="3706"/>
        </w:tabs>
        <w:spacing w:line="240" w:lineRule="atLeast"/>
        <w:jc w:val="both"/>
        <w:rPr>
          <w:rFonts w:ascii="BaskervilleT" w:hAnsi="BaskervilleT"/>
          <w:sz w:val="24"/>
          <w:szCs w:val="24"/>
          <w:lang w:val="es-PY"/>
        </w:rPr>
      </w:pPr>
    </w:p>
    <w:tbl>
      <w:tblPr>
        <w:tblStyle w:val="1"/>
        <w:tblW w:w="9277"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6579"/>
        <w:gridCol w:w="1349"/>
        <w:gridCol w:w="1349"/>
      </w:tblGrid>
      <w:tr w:rsidR="007E6FC5" w:rsidRPr="002E1A9C" w14:paraId="6BD39735" w14:textId="77777777" w:rsidTr="00B97BDC">
        <w:trPr>
          <w:trHeight w:val="99"/>
        </w:trPr>
        <w:tc>
          <w:tcPr>
            <w:tcW w:w="0" w:type="auto"/>
            <w:shd w:val="clear" w:color="auto" w:fill="244061" w:themeFill="accent1" w:themeFillShade="80"/>
            <w:tcMar>
              <w:top w:w="100" w:type="dxa"/>
              <w:left w:w="100" w:type="dxa"/>
              <w:bottom w:w="100" w:type="dxa"/>
              <w:right w:w="100" w:type="dxa"/>
            </w:tcMar>
          </w:tcPr>
          <w:p w14:paraId="63FF7558" w14:textId="79947F75" w:rsidR="00BD3D91" w:rsidRPr="002E1A9C" w:rsidRDefault="00B55827" w:rsidP="00FA0B4A">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2E1A9C">
              <w:rPr>
                <w:rFonts w:ascii="BaskervilleT" w:eastAsia="Times New Roman" w:hAnsi="BaskervilleT" w:cs="Times New Roman"/>
                <w:b/>
                <w:bCs/>
                <w:color w:val="FFFFFF" w:themeColor="background1"/>
                <w:sz w:val="24"/>
                <w:szCs w:val="24"/>
              </w:rPr>
              <w:t>Tipo de Instrumentos</w:t>
            </w:r>
          </w:p>
        </w:tc>
        <w:tc>
          <w:tcPr>
            <w:tcW w:w="0" w:type="auto"/>
            <w:shd w:val="clear" w:color="auto" w:fill="244061" w:themeFill="accent1" w:themeFillShade="80"/>
            <w:tcMar>
              <w:top w:w="100" w:type="dxa"/>
              <w:left w:w="100" w:type="dxa"/>
              <w:bottom w:w="100" w:type="dxa"/>
              <w:right w:w="100" w:type="dxa"/>
            </w:tcMar>
          </w:tcPr>
          <w:p w14:paraId="5A4597EB" w14:textId="1382B43D" w:rsidR="00BD3D91" w:rsidRPr="002E1A9C" w:rsidRDefault="00B55827" w:rsidP="00FA0B4A">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2E1A9C">
              <w:rPr>
                <w:rFonts w:ascii="BaskervilleT" w:hAnsi="BaskervilleT"/>
                <w:b/>
                <w:bCs/>
                <w:color w:val="FFFFFF" w:themeColor="background1"/>
                <w:sz w:val="24"/>
                <w:szCs w:val="24"/>
              </w:rPr>
              <w:t>Mínimo</w:t>
            </w:r>
          </w:p>
        </w:tc>
        <w:tc>
          <w:tcPr>
            <w:tcW w:w="0" w:type="auto"/>
            <w:shd w:val="clear" w:color="auto" w:fill="244061" w:themeFill="accent1" w:themeFillShade="80"/>
            <w:tcMar>
              <w:top w:w="100" w:type="dxa"/>
              <w:left w:w="100" w:type="dxa"/>
              <w:bottom w:w="100" w:type="dxa"/>
              <w:right w:w="100" w:type="dxa"/>
            </w:tcMar>
          </w:tcPr>
          <w:p w14:paraId="3AE2023D" w14:textId="4F41EE34" w:rsidR="00BD3D91" w:rsidRPr="002E1A9C" w:rsidRDefault="00B55827" w:rsidP="00FA0B4A">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2E1A9C">
              <w:rPr>
                <w:rFonts w:ascii="BaskervilleT" w:hAnsi="BaskervilleT"/>
                <w:b/>
                <w:bCs/>
                <w:color w:val="FFFFFF" w:themeColor="background1"/>
                <w:sz w:val="24"/>
                <w:szCs w:val="24"/>
              </w:rPr>
              <w:t>Máximo</w:t>
            </w:r>
          </w:p>
        </w:tc>
      </w:tr>
      <w:tr w:rsidR="007E6FC5" w:rsidRPr="002E1A9C" w14:paraId="32202191" w14:textId="77777777" w:rsidTr="00B97BDC">
        <w:trPr>
          <w:trHeight w:val="893"/>
        </w:trPr>
        <w:tc>
          <w:tcPr>
            <w:tcW w:w="0" w:type="auto"/>
            <w:shd w:val="clear" w:color="auto" w:fill="auto"/>
            <w:tcMar>
              <w:top w:w="100" w:type="dxa"/>
              <w:left w:w="100" w:type="dxa"/>
              <w:bottom w:w="100" w:type="dxa"/>
              <w:right w:w="100" w:type="dxa"/>
            </w:tcMar>
          </w:tcPr>
          <w:p w14:paraId="4BC27D20" w14:textId="0A5D6B08" w:rsidR="00BD3D91" w:rsidRPr="002E1A9C" w:rsidRDefault="003E3929" w:rsidP="00FA0B4A">
            <w:pPr>
              <w:widowControl w:val="0"/>
              <w:spacing w:line="240" w:lineRule="atLeast"/>
              <w:jc w:val="both"/>
              <w:rPr>
                <w:rFonts w:ascii="BaskervilleT" w:hAnsi="BaskervilleT"/>
                <w:sz w:val="24"/>
                <w:szCs w:val="24"/>
              </w:rPr>
            </w:pPr>
            <w:r w:rsidRPr="002E1A9C">
              <w:rPr>
                <w:rFonts w:ascii="BaskervilleT" w:hAnsi="BaskervilleT"/>
                <w:sz w:val="24"/>
                <w:szCs w:val="24"/>
              </w:rPr>
              <w:t xml:space="preserve">Títulos emitidos por el Tesoro Público o garantizados por el mismo, cuya emisión haya sido registrada en el Registro de Valores </w:t>
            </w:r>
            <w:r w:rsidR="00281938" w:rsidRPr="002E1A9C">
              <w:rPr>
                <w:rFonts w:ascii="BaskervilleT" w:hAnsi="BaskervilleT"/>
                <w:sz w:val="24"/>
                <w:szCs w:val="24"/>
              </w:rPr>
              <w:t>de</w:t>
            </w:r>
            <w:r w:rsidRPr="002E1A9C">
              <w:rPr>
                <w:rFonts w:ascii="BaskervilleT" w:hAnsi="BaskervilleT"/>
                <w:sz w:val="24"/>
                <w:szCs w:val="24"/>
              </w:rPr>
              <w:t xml:space="preserve"> la </w:t>
            </w:r>
            <w:r w:rsidR="00DE2D7D" w:rsidRPr="002E1A9C">
              <w:rPr>
                <w:rFonts w:ascii="BaskervilleT" w:hAnsi="BaskervilleT"/>
                <w:sz w:val="24"/>
                <w:szCs w:val="24"/>
              </w:rPr>
              <w:t>Superintendencia de Valores del Banco Central del Paraguay</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94894413"/>
              <w:placeholder>
                <w:docPart w:val="DCB67D0CAD3F4E318D551CA8C15F47C9"/>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F472444" w14:textId="5DB51CAF"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76949678"/>
              <w:placeholder>
                <w:docPart w:val="C2653CB107654D9C89AC4442F851D669"/>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7473744" w14:textId="081A500D"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1C8E662F" w14:textId="77777777" w:rsidTr="00B97BDC">
        <w:trPr>
          <w:trHeight w:val="450"/>
        </w:trPr>
        <w:tc>
          <w:tcPr>
            <w:tcW w:w="0" w:type="auto"/>
            <w:shd w:val="clear" w:color="auto" w:fill="auto"/>
            <w:tcMar>
              <w:top w:w="100" w:type="dxa"/>
              <w:left w:w="100" w:type="dxa"/>
              <w:bottom w:w="100" w:type="dxa"/>
              <w:right w:w="100" w:type="dxa"/>
            </w:tcMar>
          </w:tcPr>
          <w:p w14:paraId="15B486CE" w14:textId="77777777"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Bonos soberanos emitidos internacionalmente por el Estado paraguayo</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82779255"/>
              <w:placeholder>
                <w:docPart w:val="EC54F067B4CD4EB59AC8803906370DE6"/>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9A4391E" w14:textId="747DBA77"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39283406"/>
              <w:placeholder>
                <w:docPart w:val="B4B43F6CB6FC49158933F762155BD5EA"/>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C301B26" w14:textId="16676CD5"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52E6413B" w14:textId="77777777" w:rsidTr="00B97BDC">
        <w:trPr>
          <w:trHeight w:val="893"/>
        </w:trPr>
        <w:tc>
          <w:tcPr>
            <w:tcW w:w="0" w:type="auto"/>
            <w:shd w:val="clear" w:color="auto" w:fill="auto"/>
            <w:tcMar>
              <w:top w:w="100" w:type="dxa"/>
              <w:left w:w="100" w:type="dxa"/>
              <w:bottom w:w="100" w:type="dxa"/>
              <w:right w:w="100" w:type="dxa"/>
            </w:tcMar>
          </w:tcPr>
          <w:p w14:paraId="1DF2E9B3" w14:textId="16CF479A"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Títulos emitidos por las </w:t>
            </w:r>
            <w:r w:rsidR="00281938" w:rsidRPr="002E1A9C">
              <w:rPr>
                <w:rFonts w:ascii="BaskervilleT" w:hAnsi="BaskervilleT"/>
                <w:sz w:val="24"/>
                <w:szCs w:val="24"/>
              </w:rPr>
              <w:t>g</w:t>
            </w:r>
            <w:r w:rsidRPr="002E1A9C">
              <w:rPr>
                <w:rFonts w:ascii="BaskervilleT" w:hAnsi="BaskervilleT"/>
                <w:sz w:val="24"/>
                <w:szCs w:val="24"/>
              </w:rPr>
              <w:t xml:space="preserve">obernaciones, </w:t>
            </w:r>
            <w:r w:rsidR="00281938" w:rsidRPr="002E1A9C">
              <w:rPr>
                <w:rFonts w:ascii="BaskervilleT" w:hAnsi="BaskervilleT"/>
                <w:sz w:val="24"/>
                <w:szCs w:val="24"/>
              </w:rPr>
              <w:t xml:space="preserve">municipalidades </w:t>
            </w:r>
            <w:r w:rsidRPr="002E1A9C">
              <w:rPr>
                <w:rFonts w:ascii="BaskervilleT" w:hAnsi="BaskervilleT"/>
                <w:sz w:val="24"/>
                <w:szCs w:val="24"/>
              </w:rPr>
              <w:t xml:space="preserve">y otros organismos y entidades del Estado, cuya emisión haya sido registrada en el Registro de Valores </w:t>
            </w:r>
            <w:r w:rsidR="00281938" w:rsidRPr="002E1A9C">
              <w:rPr>
                <w:rFonts w:ascii="BaskervilleT" w:hAnsi="BaskervilleT"/>
                <w:sz w:val="24"/>
                <w:szCs w:val="24"/>
              </w:rPr>
              <w:t>de</w:t>
            </w:r>
            <w:r w:rsidRPr="002E1A9C">
              <w:rPr>
                <w:rFonts w:ascii="BaskervilleT" w:hAnsi="BaskervilleT"/>
                <w:sz w:val="24"/>
                <w:szCs w:val="24"/>
              </w:rPr>
              <w:t xml:space="preserve"> la </w:t>
            </w:r>
            <w:r w:rsidR="00DE2D7D" w:rsidRPr="002E1A9C">
              <w:rPr>
                <w:rFonts w:ascii="BaskervilleT" w:hAnsi="BaskervilleT"/>
                <w:sz w:val="24"/>
                <w:szCs w:val="24"/>
              </w:rPr>
              <w:t>Superintendencia de Valores del Banco Central del Paraguay</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480279471"/>
              <w:placeholder>
                <w:docPart w:val="F8D31A13EBFC40EDA213B9F82EC5020C"/>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AFC3C97" w14:textId="18C6D5C3"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677953900"/>
              <w:placeholder>
                <w:docPart w:val="8375E3F6C31D420680E419D49D116C3D"/>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9AD280D" w14:textId="1F035E07"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264C3B10" w14:textId="77777777" w:rsidTr="00B97BDC">
        <w:trPr>
          <w:trHeight w:val="233"/>
        </w:trPr>
        <w:tc>
          <w:tcPr>
            <w:tcW w:w="0" w:type="auto"/>
            <w:shd w:val="clear" w:color="auto" w:fill="auto"/>
            <w:tcMar>
              <w:top w:w="100" w:type="dxa"/>
              <w:left w:w="100" w:type="dxa"/>
              <w:bottom w:w="100" w:type="dxa"/>
              <w:right w:w="100" w:type="dxa"/>
            </w:tcMar>
          </w:tcPr>
          <w:p w14:paraId="66614B59" w14:textId="77777777" w:rsidR="00BD3D91" w:rsidRPr="002E1A9C" w:rsidRDefault="003E3929" w:rsidP="00FA0B4A">
            <w:pPr>
              <w:widowControl w:val="0"/>
              <w:pBdr>
                <w:top w:val="nil"/>
                <w:left w:val="nil"/>
                <w:bottom w:val="nil"/>
                <w:right w:val="nil"/>
                <w:between w:val="nil"/>
              </w:pBdr>
              <w:spacing w:line="240" w:lineRule="atLeast"/>
              <w:ind w:left="720" w:hanging="720"/>
              <w:jc w:val="both"/>
              <w:rPr>
                <w:rFonts w:ascii="BaskervilleT" w:hAnsi="BaskervilleT"/>
                <w:sz w:val="24"/>
                <w:szCs w:val="24"/>
              </w:rPr>
            </w:pPr>
            <w:r w:rsidRPr="002E1A9C">
              <w:rPr>
                <w:rFonts w:ascii="BaskervilleT" w:hAnsi="BaskervilleT"/>
                <w:sz w:val="24"/>
                <w:szCs w:val="24"/>
              </w:rPr>
              <w:t>Títulos emitidos por el Banco Central del Paraguay</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83843624"/>
              <w:placeholder>
                <w:docPart w:val="1F0F358FCE5F4B67B4B6068BC526B2A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D948A25" w14:textId="5F3AF142"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311796660"/>
              <w:placeholder>
                <w:docPart w:val="6BE981B7E3D441AFB3A8EEB90372844E"/>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6848E1A" w14:textId="73464C16"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30AFDB26" w14:textId="77777777" w:rsidTr="00B97BDC">
        <w:trPr>
          <w:trHeight w:val="225"/>
        </w:trPr>
        <w:tc>
          <w:tcPr>
            <w:tcW w:w="0" w:type="auto"/>
            <w:shd w:val="clear" w:color="auto" w:fill="auto"/>
            <w:tcMar>
              <w:top w:w="100" w:type="dxa"/>
              <w:left w:w="100" w:type="dxa"/>
              <w:bottom w:w="100" w:type="dxa"/>
              <w:right w:w="100" w:type="dxa"/>
            </w:tcMar>
          </w:tcPr>
          <w:p w14:paraId="55829074" w14:textId="77777777"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Títulos a plazo de instituciones habilitadas por el Banco Central del Paraguay y que cuenten con calificación de riesgo BBB o superior</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95567157"/>
              <w:placeholder>
                <w:docPart w:val="8BEF1B0C74104F7097B7FF389A72507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CECA276" w14:textId="6AE1E366"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29229912"/>
              <w:placeholder>
                <w:docPart w:val="1E8F5B3D656944F08705D9EA2081A71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D21470E" w14:textId="76DDA02F"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1DAD224D" w14:textId="77777777" w:rsidTr="00B97BDC">
        <w:trPr>
          <w:trHeight w:val="967"/>
        </w:trPr>
        <w:tc>
          <w:tcPr>
            <w:tcW w:w="0" w:type="auto"/>
            <w:shd w:val="clear" w:color="auto" w:fill="auto"/>
            <w:tcMar>
              <w:top w:w="100" w:type="dxa"/>
              <w:left w:w="100" w:type="dxa"/>
              <w:bottom w:w="100" w:type="dxa"/>
              <w:right w:w="100" w:type="dxa"/>
            </w:tcMar>
          </w:tcPr>
          <w:p w14:paraId="65770C68" w14:textId="77777777"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Títulos de instituciones habilitadas por el Banco Central del Paraguay y que cuenten con calificación de riesgo local BBB o superior que emitan y coticen en mercados internacionales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18401826"/>
              <w:placeholder>
                <w:docPart w:val="5F47D064F5144FEBBFDBD74BC22FBC28"/>
              </w:placeholde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2323D630" w14:textId="5722D0A4"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w:t>
                </w:r>
                <w:r w:rsidR="008D35B4" w:rsidRPr="002E1A9C">
                  <w:rPr>
                    <w:rStyle w:val="Textodelmarcadordeposicin"/>
                    <w:rFonts w:ascii="BaskervilleT" w:hAnsi="BaskervilleT"/>
                    <w:sz w:val="24"/>
                    <w:szCs w:val="24"/>
                    <w:highlight w:val="lightGray"/>
                  </w:rPr>
                  <w:t>e</w:t>
                </w:r>
                <w:r w:rsidRPr="002E1A9C">
                  <w:rPr>
                    <w:rStyle w:val="Textodelmarcadordeposicin"/>
                    <w:rFonts w:ascii="BaskervilleT" w:hAnsi="BaskervilleT"/>
                    <w:sz w:val="24"/>
                    <w:szCs w:val="24"/>
                    <w:highlight w:val="lightGray"/>
                  </w:rPr>
                  <w:t>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39703056"/>
              <w:placeholder>
                <w:docPart w:val="284B5E9B82664CCDBD9A1CBD44CF952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0DCB233" w14:textId="19A37ABF"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77CBF08C" w14:textId="77777777" w:rsidTr="00B97BDC">
        <w:trPr>
          <w:trHeight w:val="1136"/>
        </w:trPr>
        <w:tc>
          <w:tcPr>
            <w:tcW w:w="0" w:type="auto"/>
            <w:shd w:val="clear" w:color="auto" w:fill="auto"/>
            <w:tcMar>
              <w:top w:w="100" w:type="dxa"/>
              <w:left w:w="100" w:type="dxa"/>
              <w:bottom w:w="100" w:type="dxa"/>
              <w:right w:w="100" w:type="dxa"/>
            </w:tcMar>
          </w:tcPr>
          <w:p w14:paraId="16099A4C" w14:textId="77C66C5D"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Letras o cédulas hipotecarias establecidas en la Ley General de Bancos, Financieras y Otras Entidades de Crédito, cuya emisión haya sido registrado en el Registro de Valores </w:t>
            </w:r>
            <w:r w:rsidR="00281938" w:rsidRPr="002E1A9C">
              <w:rPr>
                <w:rFonts w:ascii="BaskervilleT" w:hAnsi="BaskervilleT"/>
                <w:sz w:val="24"/>
                <w:szCs w:val="24"/>
              </w:rPr>
              <w:t>de</w:t>
            </w:r>
            <w:r w:rsidRPr="002E1A9C">
              <w:rPr>
                <w:rFonts w:ascii="BaskervilleT" w:hAnsi="BaskervilleT"/>
                <w:sz w:val="24"/>
                <w:szCs w:val="24"/>
              </w:rPr>
              <w:t xml:space="preserve"> la </w:t>
            </w:r>
            <w:r w:rsidR="00DE2D7D" w:rsidRPr="002E1A9C">
              <w:rPr>
                <w:rFonts w:ascii="BaskervilleT" w:hAnsi="BaskervilleT"/>
                <w:sz w:val="24"/>
                <w:szCs w:val="24"/>
              </w:rPr>
              <w:t>Superintendencia de Valores del Banco Central del Paraguay</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669981008"/>
              <w:placeholder>
                <w:docPart w:val="F00390F5CEA247329DCA93F0ADB703C6"/>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971238A" w14:textId="2FA8B5B9"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75406821"/>
              <w:placeholder>
                <w:docPart w:val="DDD45C67644349698BD51E1E138E954B"/>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46D1503" w14:textId="765046DB"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55902BCF" w14:textId="77777777" w:rsidTr="00B97BDC">
        <w:trPr>
          <w:trHeight w:val="115"/>
        </w:trPr>
        <w:tc>
          <w:tcPr>
            <w:tcW w:w="0" w:type="auto"/>
            <w:shd w:val="clear" w:color="auto" w:fill="auto"/>
            <w:tcMar>
              <w:top w:w="100" w:type="dxa"/>
              <w:left w:w="100" w:type="dxa"/>
              <w:bottom w:w="100" w:type="dxa"/>
              <w:right w:w="100" w:type="dxa"/>
            </w:tcMar>
          </w:tcPr>
          <w:p w14:paraId="65D8309B" w14:textId="06CEA1E4"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Acciones de sociedades emisoras de capital abierto que tengan transacción bursátil, se encuentren registradas y habilitadas en el Registro de Valores de la </w:t>
            </w:r>
            <w:r w:rsidR="00DE2D7D" w:rsidRPr="002E1A9C">
              <w:rPr>
                <w:rFonts w:ascii="BaskervilleT" w:hAnsi="BaskervilleT"/>
                <w:sz w:val="24"/>
                <w:szCs w:val="24"/>
              </w:rPr>
              <w:t>Superintendencia de Valores del Banco Central del Paraguay</w:t>
            </w:r>
            <w:r w:rsidRPr="002E1A9C">
              <w:rPr>
                <w:rFonts w:ascii="BaskervilleT" w:hAnsi="BaskervilleT"/>
                <w:sz w:val="24"/>
                <w:szCs w:val="24"/>
              </w:rPr>
              <w:t>, y que cuenten con calificación de riesgo A, similar o superior</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947351118"/>
              <w:placeholder>
                <w:docPart w:val="BA3B56B37A914EBBA28339CFB8648D8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1CD8CFE" w14:textId="00BB38CC"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8178755"/>
              <w:placeholder>
                <w:docPart w:val="7E320B46E7184862AD492061031D0A9F"/>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5A6A838" w14:textId="297E99B1"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2F92622F" w14:textId="77777777" w:rsidTr="00B97BDC">
        <w:trPr>
          <w:trHeight w:val="115"/>
        </w:trPr>
        <w:tc>
          <w:tcPr>
            <w:tcW w:w="0" w:type="auto"/>
            <w:shd w:val="clear" w:color="auto" w:fill="auto"/>
            <w:tcMar>
              <w:top w:w="100" w:type="dxa"/>
              <w:left w:w="100" w:type="dxa"/>
              <w:bottom w:w="100" w:type="dxa"/>
              <w:right w:w="100" w:type="dxa"/>
            </w:tcMar>
          </w:tcPr>
          <w:p w14:paraId="16ED7846" w14:textId="61C9BB74"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lastRenderedPageBreak/>
              <w:t xml:space="preserve">Bonos, títulos de deuda o títulos emitidos en desarrollo de titularizaciones, cuya emisión haya sido registrada en el Registro de Valores </w:t>
            </w:r>
            <w:r w:rsidR="00281938" w:rsidRPr="002E1A9C">
              <w:rPr>
                <w:rFonts w:ascii="BaskervilleT" w:hAnsi="BaskervilleT"/>
                <w:sz w:val="24"/>
                <w:szCs w:val="24"/>
              </w:rPr>
              <w:t>de</w:t>
            </w:r>
            <w:r w:rsidRPr="002E1A9C">
              <w:rPr>
                <w:rFonts w:ascii="BaskervilleT" w:hAnsi="BaskervilleT"/>
                <w:sz w:val="24"/>
                <w:szCs w:val="24"/>
              </w:rPr>
              <w:t xml:space="preserve"> la </w:t>
            </w:r>
            <w:r w:rsidR="00DE2D7D" w:rsidRPr="002E1A9C">
              <w:rPr>
                <w:rFonts w:ascii="BaskervilleT" w:hAnsi="BaskervilleT"/>
                <w:sz w:val="24"/>
                <w:szCs w:val="24"/>
              </w:rPr>
              <w:t>Superintendencia de Valores del Banco Central del Paraguay</w:t>
            </w:r>
            <w:r w:rsidRPr="002E1A9C">
              <w:rPr>
                <w:rFonts w:ascii="BaskervilleT" w:hAnsi="BaskervilleT"/>
                <w:sz w:val="24"/>
                <w:szCs w:val="24"/>
              </w:rPr>
              <w:t>, y que cuenten con calificación de riesgo BBB o superior</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412240822"/>
              <w:placeholder>
                <w:docPart w:val="5643758F5CDF439DA166D3ACAB031CBB"/>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2F2BC144" w14:textId="78DADBE3"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94796746"/>
              <w:placeholder>
                <w:docPart w:val="6A519AFE4375453DB0707BA69FC6274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CA20B25" w14:textId="7F328ED5"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10999727" w14:textId="77777777" w:rsidTr="00B97BDC">
        <w:trPr>
          <w:trHeight w:val="115"/>
        </w:trPr>
        <w:tc>
          <w:tcPr>
            <w:tcW w:w="0" w:type="auto"/>
            <w:shd w:val="clear" w:color="auto" w:fill="auto"/>
            <w:tcMar>
              <w:top w:w="100" w:type="dxa"/>
              <w:left w:w="100" w:type="dxa"/>
              <w:bottom w:w="100" w:type="dxa"/>
              <w:right w:w="100" w:type="dxa"/>
            </w:tcMar>
          </w:tcPr>
          <w:p w14:paraId="1DCD7374" w14:textId="6E81C550"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Títulos emitidos por un Estado extranjero con calificación BB-, similar o superior, que se transen habitualmente en los mercados locales o internacionales</w:t>
            </w:r>
            <w:r w:rsidR="00281938" w:rsidRPr="002E1A9C">
              <w:rPr>
                <w:rFonts w:ascii="BaskervilleT" w:hAnsi="BaskervilleT"/>
                <w:sz w:val="24"/>
                <w:szCs w:val="24"/>
              </w:rPr>
              <w:t>. S</w:t>
            </w:r>
            <w:r w:rsidRPr="002E1A9C">
              <w:rPr>
                <w:rFonts w:ascii="BaskervilleT" w:hAnsi="BaskervilleT"/>
                <w:sz w:val="24"/>
                <w:szCs w:val="24"/>
              </w:rPr>
              <w:t>i un mismo título fuere calificado en categorías de riesgo discordantes se considerará la categoría más baja</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299222478"/>
              <w:placeholder>
                <w:docPart w:val="590561E7D4DC4A0BBCB2F3978D609F0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DD2DC77" w14:textId="519E713F"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065065012"/>
              <w:placeholder>
                <w:docPart w:val="BCBEC2F404704B9CB41F8DD99D08CDB9"/>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D60AB54" w14:textId="466B5F12"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489A533D" w14:textId="77777777" w:rsidTr="00B97BDC">
        <w:trPr>
          <w:trHeight w:val="115"/>
        </w:trPr>
        <w:tc>
          <w:tcPr>
            <w:tcW w:w="0" w:type="auto"/>
            <w:shd w:val="clear" w:color="auto" w:fill="auto"/>
            <w:tcMar>
              <w:top w:w="100" w:type="dxa"/>
              <w:left w:w="100" w:type="dxa"/>
              <w:bottom w:w="100" w:type="dxa"/>
              <w:right w:w="100" w:type="dxa"/>
            </w:tcMar>
          </w:tcPr>
          <w:p w14:paraId="6F485A47" w14:textId="31A5BDB3"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Títulos emitidos por </w:t>
            </w:r>
            <w:r w:rsidR="00786C76" w:rsidRPr="002E1A9C">
              <w:rPr>
                <w:rFonts w:ascii="BaskervilleT" w:hAnsi="BaskervilleT"/>
                <w:sz w:val="24"/>
                <w:szCs w:val="24"/>
              </w:rPr>
              <w:t>b</w:t>
            </w:r>
            <w:r w:rsidRPr="002E1A9C">
              <w:rPr>
                <w:rFonts w:ascii="BaskervilleT" w:hAnsi="BaskervilleT"/>
                <w:sz w:val="24"/>
                <w:szCs w:val="24"/>
              </w:rPr>
              <w:t>ancos extranjeros dentro de un país con calificación BB- o superior, con una calificación local en dicho país de BBB o superior, negociados habitualmente en los mercados locales o internacionales con precios referenciales diarios</w:t>
            </w:r>
            <w:r w:rsidR="00281938" w:rsidRPr="002E1A9C">
              <w:rPr>
                <w:rFonts w:ascii="BaskervilleT" w:hAnsi="BaskervilleT"/>
                <w:sz w:val="24"/>
                <w:szCs w:val="24"/>
              </w:rPr>
              <w:t>. S</w:t>
            </w:r>
            <w:r w:rsidRPr="002E1A9C">
              <w:rPr>
                <w:rFonts w:ascii="BaskervilleT" w:hAnsi="BaskervilleT"/>
                <w:sz w:val="24"/>
                <w:szCs w:val="24"/>
              </w:rPr>
              <w:t>i un mismo título fuere calificado en categorías de riesgo discordantes se considerará la categoría más baja; al igual que la calificación de riesgo país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864665844"/>
              <w:placeholder>
                <w:docPart w:val="32BACD5372964A5D9453F8A7D0882FE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5BC4EF4" w14:textId="202AFF92"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17366647"/>
              <w:placeholder>
                <w:docPart w:val="3A4880BEC0F845209013E12484D8AB2D"/>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42DB58A" w14:textId="2C9B4933"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79595288" w14:textId="77777777" w:rsidTr="00B97BDC">
        <w:trPr>
          <w:trHeight w:val="115"/>
        </w:trPr>
        <w:tc>
          <w:tcPr>
            <w:tcW w:w="0" w:type="auto"/>
            <w:shd w:val="clear" w:color="auto" w:fill="auto"/>
            <w:tcMar>
              <w:top w:w="100" w:type="dxa"/>
              <w:left w:w="100" w:type="dxa"/>
              <w:bottom w:w="100" w:type="dxa"/>
              <w:right w:w="100" w:type="dxa"/>
            </w:tcMar>
          </w:tcPr>
          <w:p w14:paraId="63781869" w14:textId="03269966"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Títulos emitidos por un emisor extranjer</w:t>
            </w:r>
            <w:r w:rsidR="00786C76" w:rsidRPr="002E1A9C">
              <w:rPr>
                <w:rFonts w:ascii="BaskervilleT" w:hAnsi="BaskervilleT"/>
                <w:sz w:val="24"/>
                <w:szCs w:val="24"/>
              </w:rPr>
              <w:t>o</w:t>
            </w:r>
            <w:r w:rsidRPr="002E1A9C">
              <w:rPr>
                <w:rFonts w:ascii="BaskervilleT" w:hAnsi="BaskervilleT"/>
                <w:sz w:val="24"/>
                <w:szCs w:val="24"/>
              </w:rPr>
              <w:t xml:space="preserve"> dentro de un país que cuente con calificación BB- o superior, con una calificación local A o superior</w:t>
            </w:r>
            <w:r w:rsidR="00281938" w:rsidRPr="002E1A9C">
              <w:rPr>
                <w:rFonts w:ascii="BaskervilleT" w:hAnsi="BaskervilleT"/>
                <w:sz w:val="24"/>
                <w:szCs w:val="24"/>
              </w:rPr>
              <w:t xml:space="preserve"> en dicho país</w:t>
            </w:r>
            <w:r w:rsidRPr="002E1A9C">
              <w:rPr>
                <w:rFonts w:ascii="BaskervilleT" w:hAnsi="BaskervilleT"/>
                <w:sz w:val="24"/>
                <w:szCs w:val="24"/>
              </w:rPr>
              <w:t>, negociados habitualmente en los mercados locales o internacionales con precios referenciales diarios</w:t>
            </w:r>
            <w:r w:rsidR="00281938" w:rsidRPr="002E1A9C">
              <w:rPr>
                <w:rFonts w:ascii="BaskervilleT" w:hAnsi="BaskervilleT"/>
                <w:sz w:val="24"/>
                <w:szCs w:val="24"/>
              </w:rPr>
              <w:t>. S</w:t>
            </w:r>
            <w:r w:rsidRPr="002E1A9C">
              <w:rPr>
                <w:rFonts w:ascii="BaskervilleT" w:hAnsi="BaskervilleT"/>
                <w:sz w:val="24"/>
                <w:szCs w:val="24"/>
              </w:rPr>
              <w:t>i un mismo título fuere calificado en categorías de riesgo discordantes se considerará la categoría más baja; al igual que la calificación de riesgo país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65911853"/>
              <w:placeholder>
                <w:docPart w:val="110385841E84425BB4908CF485276438"/>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114D5867" w14:textId="5C53F61A"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07872963"/>
              <w:placeholder>
                <w:docPart w:val="DFD6363888414722BF727A2AAD35359F"/>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F451C3E" w14:textId="1C1535B7"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42360516" w14:textId="77777777" w:rsidTr="00B97BDC">
        <w:trPr>
          <w:trHeight w:val="675"/>
        </w:trPr>
        <w:tc>
          <w:tcPr>
            <w:tcW w:w="0" w:type="auto"/>
            <w:shd w:val="clear" w:color="auto" w:fill="auto"/>
            <w:tcMar>
              <w:top w:w="100" w:type="dxa"/>
              <w:left w:w="100" w:type="dxa"/>
              <w:bottom w:w="100" w:type="dxa"/>
              <w:right w:w="100" w:type="dxa"/>
            </w:tcMar>
          </w:tcPr>
          <w:p w14:paraId="72C02DB4" w14:textId="1DAFD5CC"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Operaciones de venta con compromiso de compra, con contraparte de sujetos supervisados por la </w:t>
            </w:r>
            <w:r w:rsidR="00DE2D7D" w:rsidRPr="002E1A9C">
              <w:rPr>
                <w:rFonts w:ascii="BaskervilleT" w:hAnsi="BaskervilleT"/>
                <w:sz w:val="24"/>
                <w:szCs w:val="24"/>
              </w:rPr>
              <w:t>Superintendencia de Valores del Banco Central del Paraguay</w:t>
            </w:r>
            <w:r w:rsidRPr="002E1A9C">
              <w:rPr>
                <w:rFonts w:ascii="BaskervilleT" w:hAnsi="BaskervilleT"/>
                <w:sz w:val="24"/>
                <w:szCs w:val="24"/>
              </w:rPr>
              <w:t xml:space="preserve"> u otras autoridades administrativas de control, y negociados a través de las Casas de Bolsa.</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298593842"/>
              <w:placeholder>
                <w:docPart w:val="39971D6D8CCC41D5B448AB9575008E30"/>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1A64DCC" w14:textId="74BA6107"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931595884"/>
              <w:placeholder>
                <w:docPart w:val="94453A2C5E4B4679AD1EB7D25964FDAB"/>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4036B3D" w14:textId="2D29488C"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BD3D91" w:rsidRPr="002E1A9C" w14:paraId="1DEAFCDD" w14:textId="77777777" w:rsidTr="00B97BDC">
        <w:trPr>
          <w:trHeight w:val="354"/>
        </w:trPr>
        <w:tc>
          <w:tcPr>
            <w:tcW w:w="0" w:type="auto"/>
            <w:shd w:val="clear" w:color="auto" w:fill="auto"/>
            <w:tcMar>
              <w:top w:w="100" w:type="dxa"/>
              <w:left w:w="100" w:type="dxa"/>
              <w:bottom w:w="100" w:type="dxa"/>
              <w:right w:w="100" w:type="dxa"/>
            </w:tcMar>
          </w:tcPr>
          <w:p w14:paraId="2D6DF5A2" w14:textId="75DBFAE1"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Plazo máximo de la </w:t>
            </w:r>
            <w:r w:rsidR="00281938" w:rsidRPr="002E1A9C">
              <w:rPr>
                <w:rFonts w:ascii="BaskervilleT" w:hAnsi="BaskervilleT"/>
                <w:sz w:val="24"/>
                <w:szCs w:val="24"/>
              </w:rPr>
              <w:t>operación</w:t>
            </w:r>
            <w:r w:rsidR="00EE1254" w:rsidRPr="002E1A9C">
              <w:rPr>
                <w:rFonts w:ascii="BaskervilleT" w:hAnsi="BaskervilleT"/>
                <w:sz w:val="24"/>
                <w:szCs w:val="24"/>
              </w:rPr>
              <w:t xml:space="preserve"> de venta con compromiso de compra</w:t>
            </w:r>
            <w:r w:rsidR="00281938" w:rsidRPr="002E1A9C">
              <w:rPr>
                <w:rFonts w:ascii="BaskervilleT" w:hAnsi="BaskervilleT"/>
                <w:sz w:val="24"/>
                <w:szCs w:val="24"/>
              </w:rPr>
              <w:t xml:space="preserve"> </w:t>
            </w:r>
            <w:r w:rsidR="00EE1254" w:rsidRPr="002E1A9C">
              <w:rPr>
                <w:rFonts w:ascii="BaskervilleT" w:hAnsi="BaskervilleT"/>
                <w:sz w:val="24"/>
                <w:szCs w:val="24"/>
              </w:rPr>
              <w:t>(en días)</w:t>
            </w:r>
          </w:p>
        </w:tc>
        <w:sdt>
          <w:sdtPr>
            <w:rPr>
              <w:rFonts w:ascii="BaskervilleT" w:hAnsi="BaskervilleT"/>
              <w:sz w:val="24"/>
              <w:szCs w:val="24"/>
              <w:highlight w:val="lightGray"/>
            </w:rPr>
            <w:id w:val="-1579287123"/>
            <w:placeholder>
              <w:docPart w:val="F9901B986E1C44BFADFB7D140327EEE8"/>
            </w:placeholder>
          </w:sdtPr>
          <w:sdtEndPr/>
          <w:sdtContent>
            <w:tc>
              <w:tcPr>
                <w:tcW w:w="0" w:type="auto"/>
                <w:gridSpan w:val="2"/>
                <w:shd w:val="clear" w:color="auto" w:fill="F2F2F2" w:themeFill="background1" w:themeFillShade="F2"/>
                <w:tcMar>
                  <w:top w:w="100" w:type="dxa"/>
                  <w:left w:w="100" w:type="dxa"/>
                  <w:bottom w:w="100" w:type="dxa"/>
                  <w:right w:w="100" w:type="dxa"/>
                </w:tcMar>
              </w:tcPr>
              <w:p w14:paraId="6E751D1E" w14:textId="31D3F345" w:rsidR="00BD3D91" w:rsidRPr="002E1A9C" w:rsidRDefault="00E73439" w:rsidP="00FA0B4A">
                <w:pPr>
                  <w:widowControl w:val="0"/>
                  <w:spacing w:line="240" w:lineRule="atLeast"/>
                  <w:jc w:val="both"/>
                  <w:rPr>
                    <w:rFonts w:ascii="BaskervilleT" w:hAnsi="BaskervilleT"/>
                    <w:sz w:val="24"/>
                    <w:szCs w:val="24"/>
                  </w:rPr>
                </w:pPr>
                <w:r w:rsidRPr="002E1A9C">
                  <w:rPr>
                    <w:rFonts w:ascii="BaskervilleT" w:hAnsi="BaskervilleT"/>
                    <w:color w:val="808080" w:themeColor="background1" w:themeShade="80"/>
                    <w:sz w:val="24"/>
                    <w:szCs w:val="24"/>
                    <w:highlight w:val="lightGray"/>
                  </w:rPr>
                  <w:t>Introducir plazo máximo no mayor a 365 días.</w:t>
                </w:r>
              </w:p>
            </w:tc>
          </w:sdtContent>
        </w:sdt>
      </w:tr>
      <w:tr w:rsidR="007E6FC5" w:rsidRPr="002E1A9C" w14:paraId="604730A0" w14:textId="77777777" w:rsidTr="00B97BDC">
        <w:trPr>
          <w:trHeight w:val="115"/>
        </w:trPr>
        <w:tc>
          <w:tcPr>
            <w:tcW w:w="0" w:type="auto"/>
            <w:shd w:val="clear" w:color="auto" w:fill="auto"/>
            <w:tcMar>
              <w:top w:w="100" w:type="dxa"/>
              <w:left w:w="100" w:type="dxa"/>
              <w:bottom w:w="100" w:type="dxa"/>
              <w:right w:w="100" w:type="dxa"/>
            </w:tcMar>
          </w:tcPr>
          <w:p w14:paraId="487FEF8F" w14:textId="354DBE27"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Operaciones de compra con compromiso de venta, con contraparte de sujetos supervisados por la </w:t>
            </w:r>
            <w:r w:rsidR="00DE2D7D" w:rsidRPr="002E1A9C">
              <w:rPr>
                <w:rFonts w:ascii="BaskervilleT" w:hAnsi="BaskervilleT"/>
                <w:sz w:val="24"/>
                <w:szCs w:val="24"/>
              </w:rPr>
              <w:t>Superintendencia de Valores del Banco Central del Paraguay</w:t>
            </w:r>
            <w:r w:rsidRPr="002E1A9C">
              <w:rPr>
                <w:rFonts w:ascii="BaskervilleT" w:hAnsi="BaskervilleT"/>
                <w:sz w:val="24"/>
                <w:szCs w:val="24"/>
              </w:rPr>
              <w:t xml:space="preserve"> u otras autoridades administrativas de control, y negociados a través de las Casas de Bolsa.</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35907463"/>
              <w:placeholder>
                <w:docPart w:val="3CB4252A189446078CD3812B16B7EE6C"/>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F161F95" w14:textId="23D0F834"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091032081"/>
              <w:placeholder>
                <w:docPart w:val="69FB8BA6665A4834AC973D520EF5E73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EC680C7" w14:textId="22CEB876"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BD3D91" w:rsidRPr="002E1A9C" w14:paraId="0FF4746F" w14:textId="77777777" w:rsidTr="00B97BDC">
        <w:trPr>
          <w:trHeight w:val="354"/>
        </w:trPr>
        <w:tc>
          <w:tcPr>
            <w:tcW w:w="0" w:type="auto"/>
            <w:shd w:val="clear" w:color="auto" w:fill="auto"/>
            <w:tcMar>
              <w:top w:w="100" w:type="dxa"/>
              <w:left w:w="100" w:type="dxa"/>
              <w:bottom w:w="100" w:type="dxa"/>
              <w:right w:w="100" w:type="dxa"/>
            </w:tcMar>
          </w:tcPr>
          <w:p w14:paraId="26215E44" w14:textId="0284B863" w:rsidR="00BD3D91" w:rsidRPr="002E1A9C" w:rsidRDefault="003E3929" w:rsidP="00FA0B4A">
            <w:pPr>
              <w:widowControl w:val="0"/>
              <w:spacing w:line="240" w:lineRule="atLeast"/>
              <w:jc w:val="both"/>
              <w:rPr>
                <w:rFonts w:ascii="BaskervilleT" w:hAnsi="BaskervilleT"/>
                <w:sz w:val="24"/>
                <w:szCs w:val="24"/>
              </w:rPr>
            </w:pPr>
            <w:r w:rsidRPr="002E1A9C">
              <w:rPr>
                <w:rFonts w:ascii="BaskervilleT" w:hAnsi="BaskervilleT"/>
                <w:sz w:val="24"/>
                <w:szCs w:val="24"/>
              </w:rPr>
              <w:t xml:space="preserve">Plazo máximo de la </w:t>
            </w:r>
            <w:r w:rsidR="00281938" w:rsidRPr="002E1A9C">
              <w:rPr>
                <w:rFonts w:ascii="BaskervilleT" w:hAnsi="BaskervilleT"/>
                <w:sz w:val="24"/>
                <w:szCs w:val="24"/>
              </w:rPr>
              <w:t>operación</w:t>
            </w:r>
            <w:r w:rsidR="00EE1254" w:rsidRPr="002E1A9C">
              <w:rPr>
                <w:rFonts w:ascii="BaskervilleT" w:hAnsi="BaskervilleT"/>
                <w:sz w:val="24"/>
                <w:szCs w:val="24"/>
              </w:rPr>
              <w:t xml:space="preserve"> de compra con compromiso de venta (en días)</w:t>
            </w:r>
          </w:p>
        </w:tc>
        <w:sdt>
          <w:sdtPr>
            <w:rPr>
              <w:rFonts w:ascii="BaskervilleT" w:hAnsi="BaskervilleT"/>
              <w:sz w:val="24"/>
              <w:szCs w:val="24"/>
              <w:highlight w:val="lightGray"/>
            </w:rPr>
            <w:id w:val="1063607022"/>
            <w:placeholder>
              <w:docPart w:val="216C069BD52C4D86A55E3F810063CA95"/>
            </w:placeholder>
          </w:sdtPr>
          <w:sdtEndPr/>
          <w:sdtContent>
            <w:tc>
              <w:tcPr>
                <w:tcW w:w="0" w:type="auto"/>
                <w:gridSpan w:val="2"/>
                <w:shd w:val="clear" w:color="auto" w:fill="F2F2F2" w:themeFill="background1" w:themeFillShade="F2"/>
                <w:tcMar>
                  <w:top w:w="100" w:type="dxa"/>
                  <w:left w:w="100" w:type="dxa"/>
                  <w:bottom w:w="100" w:type="dxa"/>
                  <w:right w:w="100" w:type="dxa"/>
                </w:tcMar>
              </w:tcPr>
              <w:p w14:paraId="692A1F02" w14:textId="5349155F" w:rsidR="00BD3D91" w:rsidRPr="002E1A9C" w:rsidRDefault="00E73439" w:rsidP="00FA0B4A">
                <w:pPr>
                  <w:widowControl w:val="0"/>
                  <w:spacing w:line="240" w:lineRule="atLeast"/>
                  <w:jc w:val="both"/>
                  <w:rPr>
                    <w:rFonts w:ascii="BaskervilleT" w:hAnsi="BaskervilleT"/>
                    <w:sz w:val="24"/>
                    <w:szCs w:val="24"/>
                  </w:rPr>
                </w:pPr>
                <w:r w:rsidRPr="002E1A9C">
                  <w:rPr>
                    <w:rFonts w:ascii="BaskervilleT" w:hAnsi="BaskervilleT"/>
                    <w:color w:val="808080" w:themeColor="background1" w:themeShade="80"/>
                    <w:sz w:val="24"/>
                    <w:szCs w:val="24"/>
                    <w:highlight w:val="lightGray"/>
                  </w:rPr>
                  <w:t>Introducir plazo máximo no mayor a 365 días.</w:t>
                </w:r>
              </w:p>
            </w:tc>
          </w:sdtContent>
        </w:sdt>
      </w:tr>
      <w:tr w:rsidR="007E6FC5" w:rsidRPr="002E1A9C" w14:paraId="5111D195" w14:textId="77777777" w:rsidTr="00B97BDC">
        <w:trPr>
          <w:trHeight w:val="115"/>
        </w:trPr>
        <w:tc>
          <w:tcPr>
            <w:tcW w:w="0" w:type="auto"/>
            <w:shd w:val="clear" w:color="auto" w:fill="auto"/>
            <w:tcMar>
              <w:top w:w="100" w:type="dxa"/>
              <w:left w:w="100" w:type="dxa"/>
              <w:bottom w:w="100" w:type="dxa"/>
              <w:right w:w="100" w:type="dxa"/>
            </w:tcMar>
          </w:tcPr>
          <w:p w14:paraId="30237E99" w14:textId="4B858062"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 xml:space="preserve">Cuotas partes de </w:t>
            </w:r>
            <w:r w:rsidR="00106838" w:rsidRPr="002E1A9C">
              <w:rPr>
                <w:rFonts w:ascii="BaskervilleT" w:hAnsi="BaskervilleT"/>
                <w:sz w:val="24"/>
                <w:szCs w:val="24"/>
              </w:rPr>
              <w:t>F</w:t>
            </w:r>
            <w:r w:rsidRPr="002E1A9C">
              <w:rPr>
                <w:rFonts w:ascii="BaskervilleT" w:hAnsi="BaskervilleT"/>
                <w:sz w:val="24"/>
                <w:szCs w:val="24"/>
              </w:rPr>
              <w:t xml:space="preserve">ondos mutuos o de inversión y otros valores de inversión, no administrados por la misma administradora, </w:t>
            </w:r>
            <w:r w:rsidRPr="002E1A9C">
              <w:rPr>
                <w:rFonts w:ascii="BaskervilleT" w:hAnsi="BaskervilleT"/>
                <w:sz w:val="24"/>
                <w:szCs w:val="24"/>
              </w:rPr>
              <w:lastRenderedPageBreak/>
              <w:t xml:space="preserve">según determine la </w:t>
            </w:r>
            <w:r w:rsidR="00DE2D7D" w:rsidRPr="002E1A9C">
              <w:rPr>
                <w:rFonts w:ascii="BaskervilleT" w:hAnsi="BaskervilleT"/>
                <w:sz w:val="24"/>
                <w:szCs w:val="24"/>
              </w:rPr>
              <w:t>Superintendencia de Valores del Banco Central del Paraguay</w:t>
            </w:r>
            <w:r w:rsidR="00786C76" w:rsidRPr="002E1A9C">
              <w:rPr>
                <w:rFonts w:ascii="BaskervilleT" w:hAnsi="BaskervilleT"/>
                <w:sz w:val="24"/>
                <w:szCs w:val="24"/>
              </w:rPr>
              <w:t>,</w:t>
            </w:r>
            <w:r w:rsidRPr="002E1A9C">
              <w:rPr>
                <w:rFonts w:ascii="BaskervilleT" w:hAnsi="BaskervilleT"/>
                <w:sz w:val="24"/>
                <w:szCs w:val="24"/>
              </w:rPr>
              <w:t xml:space="preserve"> </w:t>
            </w:r>
            <w:r w:rsidR="001E75ED" w:rsidRPr="002E1A9C">
              <w:rPr>
                <w:rFonts w:ascii="BaskervilleT" w:hAnsi="BaskervilleT"/>
                <w:sz w:val="24"/>
                <w:szCs w:val="24"/>
              </w:rPr>
              <w:t>de acuerdo con</w:t>
            </w:r>
            <w:r w:rsidRPr="002E1A9C">
              <w:rPr>
                <w:rFonts w:ascii="BaskervilleT" w:hAnsi="BaskervilleT"/>
                <w:sz w:val="24"/>
                <w:szCs w:val="24"/>
              </w:rPr>
              <w:t xml:space="preserve"> lo previsto en los respectivos reglamentos internos de los </w:t>
            </w:r>
            <w:r w:rsidR="00106838" w:rsidRPr="002E1A9C">
              <w:rPr>
                <w:rFonts w:ascii="BaskervilleT" w:hAnsi="BaskervilleT"/>
                <w:sz w:val="24"/>
                <w:szCs w:val="24"/>
              </w:rPr>
              <w:t>F</w:t>
            </w:r>
            <w:r w:rsidRPr="002E1A9C">
              <w:rPr>
                <w:rFonts w:ascii="BaskervilleT" w:hAnsi="BaskervilleT"/>
                <w:sz w:val="24"/>
                <w:szCs w:val="24"/>
              </w:rPr>
              <w:t>ondos</w:t>
            </w:r>
            <w:r w:rsidR="00106838" w:rsidRPr="002E1A9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378810326"/>
              <w:placeholder>
                <w:docPart w:val="41420F74A663481FA6F5A09DCD11A7B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CBC76DE" w14:textId="6F874AF9"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58808712"/>
              <w:placeholder>
                <w:docPart w:val="7D448AC3192D463CA0D758FD1B89746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52900D5" w14:textId="345436EE"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3EDAA960" w14:textId="77777777" w:rsidTr="00B97BDC">
        <w:trPr>
          <w:trHeight w:val="115"/>
        </w:trPr>
        <w:tc>
          <w:tcPr>
            <w:tcW w:w="0" w:type="auto"/>
            <w:shd w:val="clear" w:color="auto" w:fill="auto"/>
            <w:tcMar>
              <w:top w:w="100" w:type="dxa"/>
              <w:left w:w="100" w:type="dxa"/>
              <w:bottom w:w="100" w:type="dxa"/>
              <w:right w:w="100" w:type="dxa"/>
            </w:tcMar>
          </w:tcPr>
          <w:p w14:paraId="33A211AE" w14:textId="5A1A0675"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Derivados financieros</w:t>
            </w:r>
            <w:r w:rsidR="00786C76" w:rsidRPr="002E1A9C">
              <w:rPr>
                <w:rFonts w:ascii="BaskervilleT" w:hAnsi="BaskervilleT"/>
                <w:sz w:val="24"/>
                <w:szCs w:val="24"/>
              </w:rPr>
              <w:t>,</w:t>
            </w:r>
            <w:r w:rsidRPr="002E1A9C">
              <w:rPr>
                <w:rFonts w:ascii="BaskervilleT" w:hAnsi="BaskervilleT"/>
                <w:sz w:val="24"/>
                <w:szCs w:val="24"/>
              </w:rPr>
              <w:t xml:space="preserve"> </w:t>
            </w:r>
            <w:r w:rsidR="00786C76" w:rsidRPr="002E1A9C">
              <w:rPr>
                <w:rFonts w:ascii="BaskervilleT" w:hAnsi="BaskervilleT"/>
                <w:sz w:val="24"/>
                <w:szCs w:val="24"/>
              </w:rPr>
              <w:t xml:space="preserve">exclusivamente </w:t>
            </w:r>
            <w:r w:rsidRPr="002E1A9C">
              <w:rPr>
                <w:rFonts w:ascii="BaskervilleT" w:hAnsi="BaskervilleT"/>
                <w:sz w:val="24"/>
                <w:szCs w:val="24"/>
              </w:rPr>
              <w:t xml:space="preserve">como cobertura de los activos del </w:t>
            </w:r>
            <w:r w:rsidR="00106838" w:rsidRPr="002E1A9C">
              <w:rPr>
                <w:rFonts w:ascii="BaskervilleT" w:hAnsi="BaskervilleT"/>
                <w:sz w:val="24"/>
                <w:szCs w:val="24"/>
              </w:rPr>
              <w:t>F</w:t>
            </w:r>
            <w:r w:rsidRPr="002E1A9C">
              <w:rPr>
                <w:rFonts w:ascii="BaskervilleT" w:hAnsi="BaskervilleT"/>
                <w:sz w:val="24"/>
                <w:szCs w:val="24"/>
              </w:rPr>
              <w:t>ondo, negociados localmente en Bolsa o en el mercado extrabursátil con entidades financieras y de seguros reguladas por las Superintendencias de Bancos y de Seguros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0794248"/>
              <w:placeholder>
                <w:docPart w:val="240EF640793A4E73900A38EF62B681B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B8CFDCD" w14:textId="1DCC27B2"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55783836"/>
              <w:placeholder>
                <w:docPart w:val="E35FCF2D4D0E48BA8C3DBCB2FA30B658"/>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1AF18727" w14:textId="3C1BAC55"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7B9800A7" w14:textId="77777777" w:rsidTr="00B97BDC">
        <w:trPr>
          <w:trHeight w:val="115"/>
        </w:trPr>
        <w:tc>
          <w:tcPr>
            <w:tcW w:w="0" w:type="auto"/>
            <w:shd w:val="clear" w:color="auto" w:fill="auto"/>
            <w:tcMar>
              <w:top w:w="100" w:type="dxa"/>
              <w:left w:w="100" w:type="dxa"/>
              <w:bottom w:w="100" w:type="dxa"/>
              <w:right w:w="100" w:type="dxa"/>
            </w:tcMar>
          </w:tcPr>
          <w:p w14:paraId="65A0A948" w14:textId="081C6BD7" w:rsidR="00BD3D91" w:rsidRPr="002E1A9C" w:rsidRDefault="003E3929"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Derivados financieros</w:t>
            </w:r>
            <w:r w:rsidR="00786C76" w:rsidRPr="002E1A9C">
              <w:rPr>
                <w:rFonts w:ascii="BaskervilleT" w:hAnsi="BaskervilleT"/>
                <w:sz w:val="24"/>
                <w:szCs w:val="24"/>
              </w:rPr>
              <w:t>, e</w:t>
            </w:r>
            <w:r w:rsidRPr="002E1A9C">
              <w:rPr>
                <w:rFonts w:ascii="BaskervilleT" w:hAnsi="BaskervilleT"/>
                <w:sz w:val="24"/>
                <w:szCs w:val="24"/>
              </w:rPr>
              <w:t>xclusivamente</w:t>
            </w:r>
            <w:r w:rsidR="00786C76" w:rsidRPr="002E1A9C">
              <w:rPr>
                <w:rFonts w:ascii="BaskervilleT" w:hAnsi="BaskervilleT"/>
                <w:sz w:val="24"/>
                <w:szCs w:val="24"/>
              </w:rPr>
              <w:t>,</w:t>
            </w:r>
            <w:r w:rsidRPr="002E1A9C">
              <w:rPr>
                <w:rFonts w:ascii="BaskervilleT" w:hAnsi="BaskervilleT"/>
                <w:sz w:val="24"/>
                <w:szCs w:val="24"/>
              </w:rPr>
              <w:t xml:space="preserve"> como cobertura de los activos del </w:t>
            </w:r>
            <w:r w:rsidR="00106838" w:rsidRPr="002E1A9C">
              <w:rPr>
                <w:rFonts w:ascii="BaskervilleT" w:hAnsi="BaskervilleT"/>
                <w:sz w:val="24"/>
                <w:szCs w:val="24"/>
              </w:rPr>
              <w:t>F</w:t>
            </w:r>
            <w:r w:rsidRPr="002E1A9C">
              <w:rPr>
                <w:rFonts w:ascii="BaskervilleT" w:hAnsi="BaskervilleT"/>
                <w:sz w:val="24"/>
                <w:szCs w:val="24"/>
              </w:rPr>
              <w:t>ondo, negociados internacionalmente en Bolsas en países con calificación de riesgo AA o superior</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48029060"/>
              <w:placeholder>
                <w:docPart w:val="4CF22FB0CEA948DD89F4DEA0DB61050D"/>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F8B0E17" w14:textId="0CAF1C76"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805814383"/>
              <w:placeholder>
                <w:docPart w:val="A4C08472954545059AAB237C38D8CA1C"/>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4A86783" w14:textId="1B25DD22"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7E6FC5" w:rsidRPr="002E1A9C" w14:paraId="7B46DDBE" w14:textId="77777777" w:rsidTr="00B97BDC">
        <w:trPr>
          <w:trHeight w:val="225"/>
        </w:trPr>
        <w:tc>
          <w:tcPr>
            <w:tcW w:w="0" w:type="auto"/>
            <w:shd w:val="clear" w:color="auto" w:fill="auto"/>
            <w:tcMar>
              <w:top w:w="100" w:type="dxa"/>
              <w:left w:w="100" w:type="dxa"/>
              <w:bottom w:w="100" w:type="dxa"/>
              <w:right w:w="100" w:type="dxa"/>
            </w:tcMar>
          </w:tcPr>
          <w:p w14:paraId="115DEE72" w14:textId="0682FFA8" w:rsidR="00BD3D91" w:rsidRPr="002E1A9C" w:rsidRDefault="007F68F8" w:rsidP="00FA0B4A">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t>Descripción de otros activos:</w:t>
            </w:r>
            <w:sdt>
              <w:sdtPr>
                <w:rPr>
                  <w:rFonts w:ascii="BaskervilleT" w:hAnsi="BaskervilleT"/>
                  <w:color w:val="808080" w:themeColor="background1" w:themeShade="80"/>
                  <w:sz w:val="24"/>
                  <w:szCs w:val="24"/>
                  <w:highlight w:val="lightGray"/>
                </w:rPr>
                <w:id w:val="-1442920667"/>
                <w:placeholder>
                  <w:docPart w:val="DefaultPlaceholder_-1854013440"/>
                </w:placeholder>
              </w:sdtPr>
              <w:sdtEndPr>
                <w:rPr>
                  <w:color w:val="auto"/>
                </w:rPr>
              </w:sdtEndPr>
              <w:sdtContent>
                <w:r w:rsidR="005E46BC" w:rsidRPr="002E1A9C">
                  <w:rPr>
                    <w:rFonts w:ascii="BaskervilleT" w:hAnsi="BaskervilleT"/>
                    <w:color w:val="808080" w:themeColor="background1" w:themeShade="80"/>
                    <w:sz w:val="24"/>
                    <w:szCs w:val="24"/>
                    <w:highlight w:val="lightGray"/>
                  </w:rPr>
                  <w:t xml:space="preserve"> Ingresar </w:t>
                </w:r>
                <w:r w:rsidR="00D755FD" w:rsidRPr="002E1A9C">
                  <w:rPr>
                    <w:rFonts w:ascii="BaskervilleT" w:hAnsi="BaskervilleT"/>
                    <w:color w:val="808080" w:themeColor="background1" w:themeShade="80"/>
                    <w:sz w:val="24"/>
                    <w:szCs w:val="24"/>
                    <w:highlight w:val="lightGray"/>
                  </w:rPr>
                  <w:t>otros tipos</w:t>
                </w:r>
                <w:r w:rsidR="005E46BC" w:rsidRPr="002E1A9C">
                  <w:rPr>
                    <w:rFonts w:ascii="BaskervilleT" w:hAnsi="BaskervilleT"/>
                    <w:color w:val="808080" w:themeColor="background1" w:themeShade="80"/>
                    <w:sz w:val="24"/>
                    <w:szCs w:val="24"/>
                    <w:highlight w:val="lightGray"/>
                  </w:rPr>
                  <w:t xml:space="preserve"> de diversificación de las inversiones </w:t>
                </w:r>
                <w:r w:rsidR="00D755FD" w:rsidRPr="002E1A9C">
                  <w:rPr>
                    <w:rFonts w:ascii="BaskervilleT" w:hAnsi="BaskervilleT"/>
                    <w:color w:val="808080" w:themeColor="background1" w:themeShade="80"/>
                    <w:sz w:val="24"/>
                    <w:szCs w:val="24"/>
                    <w:highlight w:val="lightGray"/>
                  </w:rPr>
                  <w:t xml:space="preserve">autorizados solo para los </w:t>
                </w:r>
                <w:r w:rsidR="00106838" w:rsidRPr="002E1A9C">
                  <w:rPr>
                    <w:rFonts w:ascii="BaskervilleT" w:hAnsi="BaskervilleT"/>
                    <w:color w:val="808080" w:themeColor="background1" w:themeShade="80"/>
                    <w:sz w:val="24"/>
                    <w:szCs w:val="24"/>
                    <w:highlight w:val="lightGray"/>
                  </w:rPr>
                  <w:t>F</w:t>
                </w:r>
                <w:r w:rsidR="00D755FD" w:rsidRPr="002E1A9C">
                  <w:rPr>
                    <w:rFonts w:ascii="BaskervilleT" w:hAnsi="BaskervilleT"/>
                    <w:color w:val="808080" w:themeColor="background1" w:themeShade="80"/>
                    <w:sz w:val="24"/>
                    <w:szCs w:val="24"/>
                    <w:highlight w:val="lightGray"/>
                  </w:rPr>
                  <w:t xml:space="preserve">ondos de inversión. </w:t>
                </w:r>
              </w:sdtContent>
            </w:sdt>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001924390"/>
              <w:placeholder>
                <w:docPart w:val="01B748C0BF3748E08DFE684A6B5ABF6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B9154EB" w14:textId="34E39DB4"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47763296"/>
              <w:placeholder>
                <w:docPart w:val="ACEE9F2252C749B99DEA0CFA52E2273E"/>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1739C7A" w14:textId="16A1138E" w:rsidR="00BD3D91" w:rsidRPr="002E1A9C" w:rsidRDefault="00D755FD" w:rsidP="00FA0B4A">
                <w:pPr>
                  <w:spacing w:line="240" w:lineRule="atLeast"/>
                  <w:jc w:val="both"/>
                  <w:rPr>
                    <w:rFonts w:ascii="BaskervilleT" w:hAnsi="BaskervilleT"/>
                    <w:sz w:val="24"/>
                    <w:szCs w:val="24"/>
                  </w:rPr>
                </w:pPr>
                <w:r w:rsidRPr="002E1A9C">
                  <w:rPr>
                    <w:rStyle w:val="Textodelmarcadordeposicin"/>
                    <w:rFonts w:ascii="BaskervilleT" w:hAnsi="BaskervilleT"/>
                    <w:sz w:val="24"/>
                    <w:szCs w:val="24"/>
                    <w:highlight w:val="lightGray"/>
                  </w:rPr>
                  <w:t>Elija un elemento.</w:t>
                </w:r>
              </w:p>
            </w:sdtContent>
          </w:sdt>
        </w:tc>
      </w:tr>
      <w:tr w:rsidR="00DC6542" w:rsidRPr="002E1A9C" w14:paraId="1836CEBE" w14:textId="77777777" w:rsidTr="00B97BDC">
        <w:trPr>
          <w:trHeight w:val="225"/>
        </w:trPr>
        <w:tc>
          <w:tcPr>
            <w:tcW w:w="0" w:type="auto"/>
            <w:shd w:val="clear" w:color="auto" w:fill="auto"/>
            <w:tcMar>
              <w:top w:w="100" w:type="dxa"/>
              <w:left w:w="100" w:type="dxa"/>
              <w:bottom w:w="100" w:type="dxa"/>
              <w:right w:w="100" w:type="dxa"/>
            </w:tcMar>
          </w:tcPr>
          <w:p w14:paraId="534E4018" w14:textId="02503128" w:rsidR="00DC6542" w:rsidRPr="002E1A9C" w:rsidRDefault="00DC6542" w:rsidP="00FA0B4A">
            <w:pPr>
              <w:widowControl w:val="0"/>
              <w:pBdr>
                <w:top w:val="nil"/>
                <w:left w:val="nil"/>
                <w:bottom w:val="nil"/>
                <w:right w:val="nil"/>
                <w:between w:val="nil"/>
              </w:pBdr>
              <w:spacing w:line="240" w:lineRule="atLeast"/>
              <w:jc w:val="both"/>
              <w:rPr>
                <w:rFonts w:ascii="BaskervilleT" w:hAnsi="BaskervilleT"/>
                <w:sz w:val="24"/>
                <w:szCs w:val="24"/>
                <w:highlight w:val="red"/>
              </w:rPr>
            </w:pPr>
            <w:r w:rsidRPr="002E1A9C">
              <w:rPr>
                <w:rFonts w:ascii="BaskervilleT" w:hAnsi="BaskervilleT"/>
                <w:sz w:val="24"/>
                <w:szCs w:val="24"/>
              </w:rPr>
              <w:t xml:space="preserve">El Fondo tendrá la facultad de diversificar sus inversiones, permitiendo la adquisición de activos en monedas distintas a la moneda base del presente Fondo. </w:t>
            </w:r>
          </w:p>
        </w:tc>
        <w:sdt>
          <w:sdtPr>
            <w:rPr>
              <w:rFonts w:ascii="BaskervilleT" w:hAnsi="BaskervilleT"/>
              <w:sz w:val="24"/>
              <w:szCs w:val="24"/>
              <w:highlight w:val="lightGray"/>
            </w:rPr>
            <w:id w:val="-1766522831"/>
            <w:placeholder>
              <w:docPart w:val="DefaultPlaceholder_-1854013438"/>
            </w:placeholder>
            <w:showingPlcHdr/>
            <w:dropDownList>
              <w:listItem w:value="Elija un elemento."/>
              <w:listItem w:displayText="SI" w:value="SI"/>
              <w:listItem w:displayText="NO" w:value="NO"/>
            </w:dropDownList>
          </w:sdtPr>
          <w:sdtEndPr/>
          <w:sdtContent>
            <w:tc>
              <w:tcPr>
                <w:tcW w:w="0" w:type="auto"/>
                <w:gridSpan w:val="2"/>
                <w:shd w:val="clear" w:color="auto" w:fill="F2F2F2" w:themeFill="background1" w:themeFillShade="F2"/>
                <w:tcMar>
                  <w:top w:w="100" w:type="dxa"/>
                  <w:left w:w="100" w:type="dxa"/>
                  <w:bottom w:w="100" w:type="dxa"/>
                  <w:right w:w="100" w:type="dxa"/>
                </w:tcMar>
              </w:tcPr>
              <w:p w14:paraId="4E75CC98" w14:textId="59E95015" w:rsidR="00DC6542" w:rsidRPr="002E1A9C" w:rsidRDefault="00DC6542" w:rsidP="00FA0B4A">
                <w:pPr>
                  <w:spacing w:line="240" w:lineRule="atLeast"/>
                  <w:jc w:val="both"/>
                  <w:rPr>
                    <w:rFonts w:ascii="BaskervilleT" w:hAnsi="BaskervilleT"/>
                    <w:sz w:val="24"/>
                    <w:szCs w:val="24"/>
                  </w:rPr>
                </w:pPr>
                <w:r w:rsidRPr="008320E1">
                  <w:rPr>
                    <w:rStyle w:val="Textodelmarcadordeposicin"/>
                    <w:rFonts w:ascii="BaskervilleT" w:hAnsi="BaskervilleT"/>
                    <w:sz w:val="24"/>
                    <w:szCs w:val="24"/>
                    <w:highlight w:val="lightGray"/>
                  </w:rPr>
                  <w:t>Elija un elemento.</w:t>
                </w:r>
              </w:p>
            </w:tc>
          </w:sdtContent>
        </w:sdt>
      </w:tr>
    </w:tbl>
    <w:p w14:paraId="149C41B1" w14:textId="77777777" w:rsidR="00FA0B4A" w:rsidRDefault="00FA0B4A" w:rsidP="00FA0B4A">
      <w:pPr>
        <w:pStyle w:val="Prrafodelista"/>
        <w:spacing w:line="240" w:lineRule="atLeast"/>
        <w:contextualSpacing w:val="0"/>
        <w:jc w:val="both"/>
        <w:rPr>
          <w:rFonts w:ascii="BaskervilleT" w:eastAsia="Times New Roman" w:hAnsi="BaskervilleT" w:cs="Times New Roman"/>
          <w:bCs/>
          <w:sz w:val="24"/>
          <w:szCs w:val="24"/>
          <w:lang w:val="es-PY"/>
        </w:rPr>
      </w:pPr>
    </w:p>
    <w:p w14:paraId="2B94EBDC" w14:textId="58677910" w:rsidR="005066F0" w:rsidRPr="009E23A3" w:rsidRDefault="00B206CE" w:rsidP="00FA0B4A">
      <w:pPr>
        <w:pStyle w:val="Prrafodelista"/>
        <w:numPr>
          <w:ilvl w:val="1"/>
          <w:numId w:val="38"/>
        </w:numPr>
        <w:spacing w:line="240" w:lineRule="atLeast"/>
        <w:contextualSpacing w:val="0"/>
        <w:jc w:val="both"/>
        <w:rPr>
          <w:rFonts w:ascii="BaskervilleT" w:eastAsia="Times New Roman" w:hAnsi="BaskervilleT" w:cs="Times New Roman"/>
          <w:bCs/>
          <w:sz w:val="24"/>
          <w:szCs w:val="24"/>
          <w:lang w:val="es-PY"/>
        </w:rPr>
      </w:pPr>
      <w:r w:rsidRPr="009E23A3">
        <w:rPr>
          <w:rFonts w:ascii="BaskervilleT" w:eastAsia="Times New Roman" w:hAnsi="BaskervilleT" w:cs="Times New Roman"/>
          <w:bCs/>
          <w:sz w:val="24"/>
          <w:szCs w:val="24"/>
          <w:lang w:val="es-PY"/>
        </w:rPr>
        <w:t>L</w:t>
      </w:r>
      <w:r w:rsidR="005066F0" w:rsidRPr="009E23A3">
        <w:rPr>
          <w:rFonts w:ascii="BaskervilleT" w:eastAsia="Times New Roman" w:hAnsi="BaskervilleT" w:cs="Times New Roman"/>
          <w:bCs/>
          <w:sz w:val="24"/>
          <w:szCs w:val="24"/>
          <w:lang w:val="es-PY"/>
        </w:rPr>
        <w:t>as inversiones en un único emisor no podrán superar e</w:t>
      </w:r>
      <w:r w:rsidR="00AF787C" w:rsidRPr="009E23A3">
        <w:rPr>
          <w:rFonts w:ascii="BaskervilleT" w:eastAsia="Times New Roman" w:hAnsi="BaskervilleT" w:cs="Times New Roman"/>
          <w:bCs/>
          <w:sz w:val="24"/>
          <w:szCs w:val="24"/>
          <w:lang w:val="es-PY"/>
        </w:rPr>
        <w:t xml:space="preserve">l </w:t>
      </w:r>
      <w:r w:rsidR="00AF787C" w:rsidRPr="009E23A3">
        <w:rPr>
          <w:rFonts w:ascii="BaskervilleT" w:hAnsi="BaskervilleT"/>
          <w:color w:val="A6A6A6" w:themeColor="background1" w:themeShade="A6"/>
          <w:sz w:val="24"/>
          <w:szCs w:val="24"/>
        </w:rPr>
        <w:t xml:space="preserve"> </w:t>
      </w:r>
      <w:sdt>
        <w:sdtPr>
          <w:rPr>
            <w:rFonts w:ascii="BaskervilleT" w:hAnsi="BaskervilleT"/>
            <w:color w:val="A6A6A6" w:themeColor="background1" w:themeShade="A6"/>
            <w:sz w:val="24"/>
            <w:szCs w:val="24"/>
            <w:highlight w:val="lightGray"/>
          </w:rPr>
          <w:id w:val="-1199159700"/>
          <w:placeholder>
            <w:docPart w:val="925A87E541A0473AB90640FDCE6AEF6C"/>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comboBox>
        </w:sdtPr>
        <w:sdtEndPr/>
        <w:sdtContent>
          <w:r w:rsidR="00AF787C" w:rsidRPr="009E23A3">
            <w:rPr>
              <w:rFonts w:ascii="BaskervilleT" w:hAnsi="BaskervilleT"/>
              <w:color w:val="808080" w:themeColor="background1" w:themeShade="80"/>
              <w:sz w:val="24"/>
              <w:szCs w:val="24"/>
              <w:highlight w:val="lightGray"/>
            </w:rPr>
            <w:t>Elija un elemento.</w:t>
          </w:r>
        </w:sdtContent>
      </w:sdt>
      <w:r w:rsidR="00AF787C" w:rsidRPr="009E23A3">
        <w:rPr>
          <w:rFonts w:ascii="BaskervilleT" w:eastAsia="Times New Roman" w:hAnsi="BaskervilleT" w:cs="Times New Roman"/>
          <w:bCs/>
          <w:sz w:val="24"/>
          <w:szCs w:val="24"/>
          <w:lang w:val="es-PY"/>
        </w:rPr>
        <w:t xml:space="preserve"> </w:t>
      </w:r>
      <w:r w:rsidR="00AF787C" w:rsidRPr="009E23A3" w:rsidDel="00260CB8">
        <w:rPr>
          <w:rFonts w:ascii="BaskervilleT" w:hAnsi="BaskervilleT"/>
          <w:sz w:val="24"/>
          <w:szCs w:val="24"/>
        </w:rPr>
        <w:t>de</w:t>
      </w:r>
      <w:r w:rsidR="005066F0" w:rsidRPr="009E23A3">
        <w:rPr>
          <w:rFonts w:ascii="BaskervilleT" w:eastAsia="Times New Roman" w:hAnsi="BaskervilleT" w:cs="Times New Roman"/>
          <w:bCs/>
          <w:sz w:val="24"/>
          <w:szCs w:val="24"/>
          <w:lang w:val="es-PY"/>
        </w:rPr>
        <w:t xml:space="preserve"> los activos del Fondo</w:t>
      </w:r>
      <w:r w:rsidR="009E23A3" w:rsidRPr="009E23A3">
        <w:rPr>
          <w:rFonts w:ascii="BaskervilleT" w:eastAsia="Times New Roman" w:hAnsi="BaskervilleT" w:cs="Times New Roman"/>
          <w:bCs/>
          <w:sz w:val="24"/>
          <w:szCs w:val="24"/>
          <w:lang w:val="es-PY"/>
        </w:rPr>
        <w:t xml:space="preserve"> </w:t>
      </w:r>
      <w:r w:rsidR="009E23A3" w:rsidRPr="009E23A3">
        <w:rPr>
          <w:rFonts w:ascii="BaskervilleT" w:hAnsi="BaskervilleT"/>
          <w:sz w:val="24"/>
          <w:szCs w:val="24"/>
          <w:lang w:val="es-PY"/>
        </w:rPr>
        <w:t>fuera de los títulos emitidos por el Banco Central del Paraguay o el Tesoro Público, de acuerdo con lo previsto en el presente reglamento interno.</w:t>
      </w:r>
    </w:p>
    <w:p w14:paraId="44FBA920" w14:textId="26E46B5A" w:rsidR="005066F0" w:rsidRPr="009E23A3" w:rsidRDefault="00B206CE" w:rsidP="00FA0B4A">
      <w:pPr>
        <w:pStyle w:val="Prrafodelista"/>
        <w:numPr>
          <w:ilvl w:val="1"/>
          <w:numId w:val="38"/>
        </w:numPr>
        <w:spacing w:line="240" w:lineRule="atLeast"/>
        <w:contextualSpacing w:val="0"/>
        <w:jc w:val="both"/>
        <w:rPr>
          <w:rFonts w:ascii="BaskervilleT" w:hAnsi="BaskervilleT"/>
          <w:b/>
          <w:bCs/>
          <w:sz w:val="24"/>
          <w:szCs w:val="24"/>
        </w:rPr>
      </w:pPr>
      <w:r w:rsidRPr="009E23A3">
        <w:rPr>
          <w:rFonts w:ascii="BaskervilleT" w:hAnsi="BaskervilleT"/>
          <w:sz w:val="24"/>
          <w:szCs w:val="24"/>
          <w:lang w:val="es-PY"/>
        </w:rPr>
        <w:t>L</w:t>
      </w:r>
      <w:r w:rsidR="005066F0" w:rsidRPr="009E23A3">
        <w:rPr>
          <w:rFonts w:ascii="BaskervilleT" w:hAnsi="BaskervilleT"/>
          <w:sz w:val="24"/>
          <w:szCs w:val="24"/>
        </w:rPr>
        <w:t xml:space="preserve">as inversiones en empresas pertenecientes a un mismo grupo empresarial no podrán exceder el </w:t>
      </w:r>
      <w:sdt>
        <w:sdtPr>
          <w:rPr>
            <w:rFonts w:ascii="BaskervilleT" w:hAnsi="BaskervilleT"/>
            <w:sz w:val="24"/>
            <w:szCs w:val="24"/>
            <w:highlight w:val="lightGray"/>
          </w:rPr>
          <w:id w:val="-255134438"/>
          <w:placeholder>
            <w:docPart w:val="354F310F1D2340368DFEDC36AE7F5CA8"/>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comboBox>
        </w:sdtPr>
        <w:sdtEndPr/>
        <w:sdtContent>
          <w:r w:rsidR="005066F0" w:rsidRPr="009E23A3">
            <w:rPr>
              <w:rStyle w:val="Textodelmarcadordeposicin"/>
              <w:rFonts w:ascii="BaskervilleT" w:hAnsi="BaskervilleT"/>
              <w:sz w:val="24"/>
              <w:szCs w:val="24"/>
              <w:highlight w:val="lightGray"/>
            </w:rPr>
            <w:t>Elija un elemento.</w:t>
          </w:r>
        </w:sdtContent>
      </w:sdt>
      <w:r w:rsidR="005066F0" w:rsidRPr="009E23A3" w:rsidDel="00260CB8">
        <w:rPr>
          <w:rFonts w:ascii="BaskervilleT" w:hAnsi="BaskervilleT"/>
          <w:color w:val="808080" w:themeColor="background1" w:themeShade="80"/>
          <w:sz w:val="24"/>
          <w:szCs w:val="24"/>
        </w:rPr>
        <w:t xml:space="preserve"> </w:t>
      </w:r>
      <w:r w:rsidR="005066F0" w:rsidRPr="009E23A3">
        <w:rPr>
          <w:rFonts w:ascii="BaskervilleT" w:hAnsi="BaskervilleT"/>
          <w:sz w:val="24"/>
          <w:szCs w:val="24"/>
        </w:rPr>
        <w:t>de los activos del Fondo.</w:t>
      </w:r>
    </w:p>
    <w:p w14:paraId="14ED204C" w14:textId="77777777" w:rsidR="005066F0" w:rsidRPr="002E1A9C" w:rsidRDefault="005066F0" w:rsidP="00A80E0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POLÍTICA DE VALORIZACIÓN DE LAS INVERSIONES</w:t>
      </w:r>
    </w:p>
    <w:p w14:paraId="67FCBAFB"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bookmarkStart w:id="9" w:name="_Hlk176252738"/>
      <w:r w:rsidRPr="002E1A9C">
        <w:rPr>
          <w:rFonts w:ascii="BaskervilleT" w:eastAsia="Times New Roman" w:hAnsi="BaskervilleT" w:cs="Times New Roman"/>
          <w:sz w:val="24"/>
          <w:szCs w:val="24"/>
          <w:lang w:val="es-PY"/>
        </w:rPr>
        <w:t>El Fondo valorizará sus inversiones de conformidad con los criterios establecidos con la normativa que resulte aplicable al efecto y de acuerdo con los principios contables correspondientes</w:t>
      </w:r>
      <w:bookmarkEnd w:id="9"/>
      <w:r w:rsidRPr="002E1A9C">
        <w:rPr>
          <w:rFonts w:ascii="BaskervilleT" w:eastAsia="Times New Roman" w:hAnsi="BaskervilleT" w:cs="Times New Roman"/>
          <w:sz w:val="24"/>
          <w:szCs w:val="24"/>
          <w:lang w:val="es-PY"/>
        </w:rPr>
        <w:t xml:space="preserve">. </w:t>
      </w:r>
    </w:p>
    <w:p w14:paraId="53DA18F4" w14:textId="19C56500" w:rsidR="00EA0737" w:rsidRPr="002E1A9C" w:rsidRDefault="00075C4C"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075C4C">
        <w:rPr>
          <w:rFonts w:ascii="BaskervilleT" w:eastAsia="Times New Roman" w:hAnsi="BaskervilleT" w:cs="Times New Roman"/>
          <w:sz w:val="24"/>
          <w:szCs w:val="24"/>
          <w:lang w:val="es-PY"/>
        </w:rPr>
        <w:t>Las inversiones que no sean en la moneda del Fondo se valorizaran al tipo de cambio referencial del Banco Central del Paraguay</w:t>
      </w:r>
      <w:r>
        <w:rPr>
          <w:rFonts w:ascii="BaskervilleT" w:eastAsia="Times New Roman" w:hAnsi="BaskervilleT" w:cs="Times New Roman"/>
          <w:sz w:val="24"/>
          <w:szCs w:val="24"/>
          <w:lang w:val="es-PY"/>
        </w:rPr>
        <w:t>.</w:t>
      </w:r>
    </w:p>
    <w:p w14:paraId="51FC069E" w14:textId="111727CD"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El Fondo preparar</w:t>
      </w:r>
      <w:r w:rsidR="00CC2C6E">
        <w:rPr>
          <w:rFonts w:ascii="BaskervilleT" w:eastAsia="Times New Roman" w:hAnsi="BaskervilleT" w:cs="Times New Roman"/>
          <w:sz w:val="24"/>
          <w:szCs w:val="24"/>
          <w:lang w:val="es-PY"/>
        </w:rPr>
        <w:t>á</w:t>
      </w:r>
      <w:r w:rsidRPr="002E1A9C">
        <w:rPr>
          <w:rFonts w:ascii="BaskervilleT" w:eastAsia="Times New Roman" w:hAnsi="BaskervilleT" w:cs="Times New Roman"/>
          <w:sz w:val="24"/>
          <w:szCs w:val="24"/>
          <w:lang w:val="es-PY"/>
        </w:rPr>
        <w:t xml:space="preserve"> estados contables que se presentarán a la Superintendencia de Valores y se difundirá, con base en la normativa aplicable.</w:t>
      </w:r>
    </w:p>
    <w:p w14:paraId="4C96BD08" w14:textId="22869A36"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El número total de cuotas en circulación se</w:t>
      </w:r>
      <w:r w:rsidR="00C04F87">
        <w:rPr>
          <w:rFonts w:ascii="BaskervilleT" w:eastAsia="Times New Roman" w:hAnsi="BaskervilleT" w:cs="Times New Roman"/>
          <w:sz w:val="24"/>
          <w:szCs w:val="24"/>
          <w:lang w:val="es-PY"/>
        </w:rPr>
        <w:t xml:space="preserve"> calculará e</w:t>
      </w:r>
      <w:r w:rsidRPr="002E1A9C">
        <w:rPr>
          <w:rFonts w:ascii="BaskervilleT" w:eastAsia="Times New Roman" w:hAnsi="BaskervilleT" w:cs="Times New Roman"/>
          <w:sz w:val="24"/>
          <w:szCs w:val="24"/>
          <w:lang w:val="es-PY"/>
        </w:rPr>
        <w:t xml:space="preserve"> informará con base en la normativa aplicable.</w:t>
      </w:r>
      <w:r w:rsidRPr="002E1A9C" w:rsidDel="00411547">
        <w:rPr>
          <w:rFonts w:ascii="BaskervilleT" w:eastAsia="Times New Roman" w:hAnsi="BaskervilleT" w:cs="Times New Roman"/>
          <w:sz w:val="24"/>
          <w:szCs w:val="24"/>
          <w:lang w:val="es-PY"/>
        </w:rPr>
        <w:t xml:space="preserve"> </w:t>
      </w:r>
      <w:r w:rsidRPr="002E1A9C">
        <w:rPr>
          <w:rFonts w:ascii="BaskervilleT" w:eastAsia="Times New Roman" w:hAnsi="BaskervilleT" w:cs="Times New Roman"/>
          <w:sz w:val="24"/>
          <w:szCs w:val="24"/>
          <w:lang w:val="es-PY"/>
        </w:rPr>
        <w:t xml:space="preserve"> </w:t>
      </w:r>
    </w:p>
    <w:p w14:paraId="1AADE8B3" w14:textId="55E30712" w:rsidR="00EE3DE5" w:rsidRPr="002E1A9C" w:rsidRDefault="003E3929" w:rsidP="00A80E0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POLÍTICA DE LIQUIDEZ</w:t>
      </w:r>
    </w:p>
    <w:p w14:paraId="4FAAFA5C" w14:textId="2F0501F8" w:rsidR="00136527" w:rsidRPr="002E1A9C" w:rsidRDefault="00136527" w:rsidP="00FA0B4A">
      <w:pPr>
        <w:pStyle w:val="Prrafodelista"/>
        <w:numPr>
          <w:ilvl w:val="1"/>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t>El Fondo mantendrá un nivel de liquidez mínimo para hacer frente a las necesidades de inversiones y a los requerimientos de disponibilidades.</w:t>
      </w:r>
    </w:p>
    <w:p w14:paraId="40620733" w14:textId="7DC43C1F" w:rsidR="005471D6" w:rsidRPr="002E1A9C" w:rsidRDefault="005471D6" w:rsidP="00FA0B4A">
      <w:pPr>
        <w:pStyle w:val="Prrafodelista"/>
        <w:numPr>
          <w:ilvl w:val="1"/>
          <w:numId w:val="38"/>
        </w:numPr>
        <w:spacing w:line="240" w:lineRule="atLeast"/>
        <w:contextualSpacing w:val="0"/>
        <w:jc w:val="both"/>
        <w:rPr>
          <w:rFonts w:ascii="BaskervilleT" w:hAnsi="BaskervilleT"/>
          <w:bCs/>
          <w:sz w:val="24"/>
          <w:szCs w:val="24"/>
        </w:rPr>
      </w:pPr>
      <w:bookmarkStart w:id="10" w:name="_Hlk177110549"/>
      <w:r w:rsidRPr="002E1A9C">
        <w:rPr>
          <w:rFonts w:ascii="BaskervilleT" w:hAnsi="BaskervilleT"/>
          <w:bCs/>
          <w:sz w:val="24"/>
          <w:szCs w:val="24"/>
        </w:rPr>
        <w:t xml:space="preserve">El Fondo tendrá como política que, al menos, el </w:t>
      </w:r>
      <w:sdt>
        <w:sdtPr>
          <w:rPr>
            <w:rFonts w:ascii="BaskervilleT" w:hAnsi="BaskervilleT"/>
            <w:bCs/>
            <w:color w:val="808080" w:themeColor="background1" w:themeShade="80"/>
            <w:sz w:val="24"/>
            <w:szCs w:val="24"/>
            <w:highlight w:val="lightGray"/>
          </w:rPr>
          <w:id w:val="410507046"/>
          <w:placeholder>
            <w:docPart w:val="7CF68E7C3DD0491AB5455F006EE5A60A"/>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comboBox>
        </w:sdtPr>
        <w:sdtEndPr/>
        <w:sdtContent>
          <w:r w:rsidRPr="002E1A9C">
            <w:rPr>
              <w:rFonts w:ascii="BaskervilleT" w:hAnsi="BaskervilleT"/>
              <w:color w:val="808080" w:themeColor="background1" w:themeShade="80"/>
              <w:sz w:val="24"/>
              <w:szCs w:val="24"/>
              <w:highlight w:val="lightGray"/>
            </w:rPr>
            <w:t>Elija un elemento.</w:t>
          </w:r>
        </w:sdtContent>
      </w:sdt>
      <w:r w:rsidRPr="002E1A9C" w:rsidDel="00DA1CD1">
        <w:rPr>
          <w:rFonts w:ascii="BaskervilleT" w:hAnsi="BaskervilleT"/>
          <w:bCs/>
          <w:sz w:val="24"/>
          <w:szCs w:val="24"/>
        </w:rPr>
        <w:t xml:space="preserve"> </w:t>
      </w:r>
      <w:r w:rsidRPr="002E1A9C">
        <w:rPr>
          <w:rFonts w:ascii="BaskervilleT" w:hAnsi="BaskervilleT"/>
          <w:bCs/>
          <w:sz w:val="24"/>
          <w:szCs w:val="24"/>
        </w:rPr>
        <w:t xml:space="preserve">de sus activos sean activos de alta liquidez </w:t>
      </w:r>
      <w:r w:rsidR="00C04F87">
        <w:rPr>
          <w:rFonts w:ascii="BaskervilleT" w:hAnsi="BaskervilleT"/>
          <w:bCs/>
          <w:sz w:val="24"/>
          <w:szCs w:val="24"/>
        </w:rPr>
        <w:t>a</w:t>
      </w:r>
      <w:r w:rsidRPr="002E1A9C">
        <w:rPr>
          <w:rFonts w:ascii="BaskervilleT" w:hAnsi="BaskervilleT"/>
          <w:bCs/>
          <w:sz w:val="24"/>
          <w:szCs w:val="24"/>
        </w:rPr>
        <w:t xml:space="preserve"> efectos de contar con los recursos necesarios para dar cumplimiento a sus obligaciones por las operaciones que realice y otros necesarios para </w:t>
      </w:r>
      <w:r w:rsidR="00C04F87">
        <w:rPr>
          <w:rFonts w:ascii="BaskervilleT" w:hAnsi="BaskervilleT"/>
          <w:bCs/>
          <w:sz w:val="24"/>
          <w:szCs w:val="24"/>
        </w:rPr>
        <w:t>su</w:t>
      </w:r>
      <w:r w:rsidRPr="002E1A9C">
        <w:rPr>
          <w:rFonts w:ascii="BaskervilleT" w:hAnsi="BaskervilleT"/>
          <w:bCs/>
          <w:sz w:val="24"/>
          <w:szCs w:val="24"/>
        </w:rPr>
        <w:t xml:space="preserve"> funcionamiento. Se entenderán que tienen tal carácter los siguientes: </w:t>
      </w:r>
    </w:p>
    <w:p w14:paraId="4B295773" w14:textId="6750B065" w:rsidR="00BD4F9B" w:rsidRPr="002E1A9C" w:rsidRDefault="005471D6" w:rsidP="00FA0B4A">
      <w:pPr>
        <w:pStyle w:val="Prrafodelista"/>
        <w:numPr>
          <w:ilvl w:val="2"/>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lastRenderedPageBreak/>
        <w:t xml:space="preserve">Los </w:t>
      </w:r>
      <w:r w:rsidR="00363817" w:rsidRPr="002E1A9C">
        <w:rPr>
          <w:rFonts w:ascii="BaskervilleT" w:hAnsi="BaskervilleT"/>
          <w:bCs/>
          <w:sz w:val="24"/>
          <w:szCs w:val="24"/>
        </w:rPr>
        <w:t>depósitos a</w:t>
      </w:r>
      <w:r w:rsidR="00BB56D8" w:rsidRPr="002E1A9C">
        <w:rPr>
          <w:rFonts w:ascii="BaskervilleT" w:hAnsi="BaskervilleT"/>
          <w:bCs/>
          <w:sz w:val="24"/>
          <w:szCs w:val="24"/>
        </w:rPr>
        <w:t xml:space="preserve"> la vista </w:t>
      </w:r>
      <w:r w:rsidRPr="002E1A9C">
        <w:rPr>
          <w:rFonts w:ascii="BaskervilleT" w:hAnsi="BaskervilleT"/>
          <w:bCs/>
          <w:sz w:val="24"/>
          <w:szCs w:val="24"/>
        </w:rPr>
        <w:t>en bancos</w:t>
      </w:r>
      <w:r w:rsidR="00BD1639" w:rsidRPr="002E1A9C">
        <w:rPr>
          <w:rFonts w:ascii="BaskervilleT" w:hAnsi="BaskervilleT"/>
          <w:bCs/>
          <w:sz w:val="24"/>
          <w:szCs w:val="24"/>
        </w:rPr>
        <w:t>.</w:t>
      </w:r>
    </w:p>
    <w:p w14:paraId="26D22F5E" w14:textId="63F79C00" w:rsidR="004E1CDE" w:rsidRPr="002E1A9C" w:rsidRDefault="007D7112" w:rsidP="00FA0B4A">
      <w:pPr>
        <w:pStyle w:val="Prrafodelista"/>
        <w:numPr>
          <w:ilvl w:val="2"/>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t>L</w:t>
      </w:r>
      <w:r w:rsidR="005471D6" w:rsidRPr="002E1A9C">
        <w:rPr>
          <w:rFonts w:ascii="BaskervilleT" w:hAnsi="BaskervilleT"/>
          <w:bCs/>
          <w:sz w:val="24"/>
          <w:szCs w:val="24"/>
        </w:rPr>
        <w:t>os instrumentos emitidos por el Banco Central del Paraguay</w:t>
      </w:r>
      <w:r w:rsidR="00D70344" w:rsidRPr="002E1A9C">
        <w:rPr>
          <w:rFonts w:ascii="BaskervilleT" w:hAnsi="BaskervilleT"/>
          <w:bCs/>
          <w:sz w:val="24"/>
          <w:szCs w:val="24"/>
        </w:rPr>
        <w:t xml:space="preserve"> o el Tesoro Público</w:t>
      </w:r>
      <w:r w:rsidR="00363817" w:rsidRPr="002E1A9C">
        <w:rPr>
          <w:rFonts w:ascii="BaskervilleT" w:hAnsi="BaskervilleT"/>
          <w:bCs/>
          <w:sz w:val="24"/>
          <w:szCs w:val="24"/>
        </w:rPr>
        <w:t xml:space="preserve"> </w:t>
      </w:r>
      <w:r w:rsidR="004E1CDE" w:rsidRPr="002E1A9C">
        <w:rPr>
          <w:rFonts w:ascii="BaskervilleT" w:hAnsi="BaskervilleT"/>
          <w:bCs/>
          <w:sz w:val="24"/>
          <w:szCs w:val="24"/>
        </w:rPr>
        <w:t xml:space="preserve">con vencimiento menor a 365 </w:t>
      </w:r>
      <w:r w:rsidR="00C04F87">
        <w:rPr>
          <w:rFonts w:ascii="BaskervilleT" w:hAnsi="BaskervilleT"/>
          <w:bCs/>
          <w:sz w:val="24"/>
          <w:szCs w:val="24"/>
        </w:rPr>
        <w:t xml:space="preserve">(trescientos sesenta y cinco) </w:t>
      </w:r>
      <w:r w:rsidR="004E1CDE" w:rsidRPr="002E1A9C">
        <w:rPr>
          <w:rFonts w:ascii="BaskervilleT" w:hAnsi="BaskervilleT"/>
          <w:bCs/>
          <w:sz w:val="24"/>
          <w:szCs w:val="24"/>
        </w:rPr>
        <w:t xml:space="preserve">días. </w:t>
      </w:r>
    </w:p>
    <w:p w14:paraId="143CBC1F" w14:textId="0BC7DF8D" w:rsidR="00D70344" w:rsidRPr="002E1A9C" w:rsidRDefault="00D70344" w:rsidP="00FA0B4A">
      <w:pPr>
        <w:pStyle w:val="Prrafodelista"/>
        <w:numPr>
          <w:ilvl w:val="2"/>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t xml:space="preserve">Los instrumentos </w:t>
      </w:r>
      <w:r w:rsidR="00660F99" w:rsidRPr="002E1A9C">
        <w:rPr>
          <w:rFonts w:ascii="BaskervilleT" w:hAnsi="BaskervilleT"/>
          <w:bCs/>
          <w:sz w:val="24"/>
          <w:szCs w:val="24"/>
        </w:rPr>
        <w:t>emitidos por un Estado extranjero con calificación A o superior, que se transen habitualmente en los mercados locales o internacionales</w:t>
      </w:r>
      <w:r w:rsidR="004E1CDE" w:rsidRPr="002E1A9C">
        <w:rPr>
          <w:rFonts w:ascii="BaskervilleT" w:hAnsi="BaskervilleT"/>
          <w:bCs/>
          <w:sz w:val="24"/>
          <w:szCs w:val="24"/>
        </w:rPr>
        <w:t xml:space="preserve"> con vencimiento menor a 365 </w:t>
      </w:r>
      <w:r w:rsidR="00C04F87">
        <w:rPr>
          <w:rFonts w:ascii="BaskervilleT" w:hAnsi="BaskervilleT"/>
          <w:bCs/>
          <w:sz w:val="24"/>
          <w:szCs w:val="24"/>
        </w:rPr>
        <w:t xml:space="preserve">(trescientos sesenta y cinco) </w:t>
      </w:r>
      <w:r w:rsidR="004E1CDE" w:rsidRPr="002E1A9C">
        <w:rPr>
          <w:rFonts w:ascii="BaskervilleT" w:hAnsi="BaskervilleT"/>
          <w:bCs/>
          <w:sz w:val="24"/>
          <w:szCs w:val="24"/>
        </w:rPr>
        <w:t xml:space="preserve">días. </w:t>
      </w:r>
    </w:p>
    <w:p w14:paraId="21380EC3" w14:textId="4B46F50E" w:rsidR="005471D6" w:rsidRPr="002E1A9C" w:rsidRDefault="005471D6" w:rsidP="00FA0B4A">
      <w:pPr>
        <w:pStyle w:val="Prrafodelista"/>
        <w:numPr>
          <w:ilvl w:val="2"/>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t xml:space="preserve">Los instrumentos de renta fija con un vencimiento menor a </w:t>
      </w:r>
      <w:r w:rsidR="00711B6D" w:rsidRPr="002E1A9C">
        <w:rPr>
          <w:rFonts w:ascii="BaskervilleT" w:hAnsi="BaskervilleT"/>
          <w:bCs/>
          <w:sz w:val="24"/>
          <w:szCs w:val="24"/>
        </w:rPr>
        <w:t>18</w:t>
      </w:r>
      <w:r w:rsidRPr="002E1A9C">
        <w:rPr>
          <w:rFonts w:ascii="BaskervilleT" w:hAnsi="BaskervilleT"/>
          <w:bCs/>
          <w:sz w:val="24"/>
          <w:szCs w:val="24"/>
        </w:rPr>
        <w:t>0 (</w:t>
      </w:r>
      <w:r w:rsidR="00711B6D" w:rsidRPr="002E1A9C">
        <w:rPr>
          <w:rFonts w:ascii="BaskervilleT" w:hAnsi="BaskervilleT"/>
          <w:bCs/>
          <w:sz w:val="24"/>
          <w:szCs w:val="24"/>
        </w:rPr>
        <w:t xml:space="preserve">ciento </w:t>
      </w:r>
      <w:r w:rsidR="001E2B93" w:rsidRPr="002E1A9C">
        <w:rPr>
          <w:rFonts w:ascii="BaskervilleT" w:hAnsi="BaskervilleT"/>
          <w:bCs/>
          <w:sz w:val="24"/>
          <w:szCs w:val="24"/>
        </w:rPr>
        <w:t>ochenta)</w:t>
      </w:r>
      <w:r w:rsidRPr="002E1A9C">
        <w:rPr>
          <w:rFonts w:ascii="BaskervilleT" w:hAnsi="BaskervilleT"/>
          <w:bCs/>
          <w:sz w:val="24"/>
          <w:szCs w:val="24"/>
        </w:rPr>
        <w:t xml:space="preserve"> días</w:t>
      </w:r>
      <w:r w:rsidR="00711B6D" w:rsidRPr="002E1A9C">
        <w:rPr>
          <w:rFonts w:ascii="BaskervilleT" w:hAnsi="BaskervilleT"/>
          <w:bCs/>
          <w:sz w:val="24"/>
          <w:szCs w:val="24"/>
        </w:rPr>
        <w:t xml:space="preserve"> con calificación de riesgo A o superior. </w:t>
      </w:r>
    </w:p>
    <w:p w14:paraId="00A10233" w14:textId="4354E7E0" w:rsidR="003845EE" w:rsidRPr="002E1A9C" w:rsidRDefault="00320923" w:rsidP="00FA0B4A">
      <w:pPr>
        <w:pStyle w:val="Prrafodelista"/>
        <w:numPr>
          <w:ilvl w:val="2"/>
          <w:numId w:val="38"/>
        </w:numPr>
        <w:spacing w:line="240" w:lineRule="atLeast"/>
        <w:contextualSpacing w:val="0"/>
        <w:jc w:val="both"/>
        <w:rPr>
          <w:rFonts w:ascii="BaskervilleT" w:hAnsi="BaskervilleT"/>
          <w:bCs/>
          <w:sz w:val="24"/>
          <w:szCs w:val="24"/>
        </w:rPr>
      </w:pPr>
      <w:r w:rsidRPr="002E1A9C">
        <w:rPr>
          <w:rFonts w:ascii="BaskervilleT" w:hAnsi="BaskervilleT"/>
          <w:bCs/>
          <w:sz w:val="24"/>
          <w:szCs w:val="24"/>
        </w:rPr>
        <w:t xml:space="preserve">Las operaciones </w:t>
      </w:r>
      <w:r w:rsidR="005471D6" w:rsidRPr="002E1A9C">
        <w:rPr>
          <w:rFonts w:ascii="BaskervilleT" w:hAnsi="BaskervilleT"/>
          <w:bCs/>
          <w:sz w:val="24"/>
          <w:szCs w:val="24"/>
        </w:rPr>
        <w:t xml:space="preserve">de </w:t>
      </w:r>
      <w:r w:rsidR="000D0234" w:rsidRPr="002E1A9C">
        <w:rPr>
          <w:rFonts w:ascii="BaskervilleT" w:hAnsi="BaskervilleT"/>
          <w:bCs/>
          <w:sz w:val="24"/>
          <w:szCs w:val="24"/>
        </w:rPr>
        <w:t>compra/</w:t>
      </w:r>
      <w:r w:rsidR="005471D6" w:rsidRPr="002E1A9C">
        <w:rPr>
          <w:rFonts w:ascii="BaskervilleT" w:hAnsi="BaskervilleT"/>
          <w:bCs/>
          <w:sz w:val="24"/>
          <w:szCs w:val="24"/>
        </w:rPr>
        <w:t xml:space="preserve">venta con compromiso de </w:t>
      </w:r>
      <w:r w:rsidR="000D0234" w:rsidRPr="002E1A9C">
        <w:rPr>
          <w:rFonts w:ascii="BaskervilleT" w:hAnsi="BaskervilleT"/>
          <w:bCs/>
          <w:sz w:val="24"/>
          <w:szCs w:val="24"/>
        </w:rPr>
        <w:t>venta/</w:t>
      </w:r>
      <w:r w:rsidR="005471D6" w:rsidRPr="002E1A9C">
        <w:rPr>
          <w:rFonts w:ascii="BaskervilleT" w:hAnsi="BaskervilleT"/>
          <w:bCs/>
          <w:sz w:val="24"/>
          <w:szCs w:val="24"/>
        </w:rPr>
        <w:t xml:space="preserve">compra </w:t>
      </w:r>
      <w:r w:rsidR="004C5D56" w:rsidRPr="002E1A9C">
        <w:rPr>
          <w:rFonts w:ascii="BaskervilleT" w:hAnsi="BaskervilleT"/>
          <w:bCs/>
          <w:sz w:val="24"/>
          <w:szCs w:val="24"/>
        </w:rPr>
        <w:t>bajo un plazo no mayor a 7</w:t>
      </w:r>
      <w:r w:rsidR="00621B19" w:rsidRPr="002E1A9C">
        <w:rPr>
          <w:rFonts w:ascii="BaskervilleT" w:hAnsi="BaskervilleT"/>
          <w:bCs/>
          <w:sz w:val="24"/>
          <w:szCs w:val="24"/>
        </w:rPr>
        <w:t xml:space="preserve"> (siete)</w:t>
      </w:r>
      <w:r w:rsidR="004C5D56" w:rsidRPr="002E1A9C">
        <w:rPr>
          <w:rFonts w:ascii="BaskervilleT" w:hAnsi="BaskervilleT"/>
          <w:bCs/>
          <w:sz w:val="24"/>
          <w:szCs w:val="24"/>
        </w:rPr>
        <w:t xml:space="preserve"> días</w:t>
      </w:r>
      <w:r w:rsidR="00EA03E4" w:rsidRPr="002E1A9C">
        <w:rPr>
          <w:rFonts w:ascii="BaskervilleT" w:hAnsi="BaskervilleT"/>
          <w:bCs/>
          <w:sz w:val="24"/>
          <w:szCs w:val="24"/>
        </w:rPr>
        <w:t xml:space="preserve"> con títulos</w:t>
      </w:r>
      <w:r w:rsidR="006B7DBA" w:rsidRPr="002E1A9C">
        <w:rPr>
          <w:rFonts w:ascii="BaskervilleT" w:hAnsi="BaskervilleT"/>
          <w:bCs/>
          <w:sz w:val="24"/>
          <w:szCs w:val="24"/>
        </w:rPr>
        <w:t xml:space="preserve"> subyacentes con calificación de riesgo A o superior.</w:t>
      </w:r>
      <w:bookmarkEnd w:id="10"/>
    </w:p>
    <w:p w14:paraId="0A233903" w14:textId="77777777" w:rsidR="005066F0" w:rsidRPr="002E1A9C" w:rsidRDefault="005066F0" w:rsidP="00A80E00">
      <w:pPr>
        <w:pStyle w:val="Prrafodelista"/>
        <w:numPr>
          <w:ilvl w:val="0"/>
          <w:numId w:val="38"/>
        </w:numPr>
        <w:spacing w:line="240" w:lineRule="atLeast"/>
        <w:contextualSpacing w:val="0"/>
        <w:jc w:val="both"/>
        <w:outlineLvl w:val="0"/>
        <w:rPr>
          <w:rFonts w:ascii="BaskervilleT" w:hAnsi="BaskervilleT"/>
          <w:b/>
          <w:sz w:val="24"/>
          <w:szCs w:val="24"/>
          <w:u w:val="single"/>
        </w:rPr>
      </w:pPr>
      <w:bookmarkStart w:id="11" w:name="_Hlk176946013"/>
      <w:r w:rsidRPr="002E1A9C">
        <w:rPr>
          <w:rFonts w:ascii="BaskervilleT" w:hAnsi="BaskervilleT"/>
          <w:b/>
          <w:sz w:val="24"/>
          <w:szCs w:val="24"/>
          <w:u w:val="single"/>
        </w:rPr>
        <w:t>POLÍTICA DE ENDEUDAMIENTO</w:t>
      </w:r>
    </w:p>
    <w:p w14:paraId="56342A53" w14:textId="67362447" w:rsidR="00A4493F"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A los efectos de cumplir con los compromisos de inversión asumidos y por compras de oportunidad para mejorar la rentabilidad del Fondo, la Sociedad Administradora podrá obtener </w:t>
      </w:r>
      <w:r w:rsidR="00292D57">
        <w:rPr>
          <w:rFonts w:ascii="BaskervilleT" w:eastAsia="Times New Roman" w:hAnsi="BaskervilleT" w:cs="Times New Roman"/>
          <w:sz w:val="24"/>
          <w:szCs w:val="24"/>
          <w:lang w:val="es-PY"/>
        </w:rPr>
        <w:t>financiamiento</w:t>
      </w:r>
      <w:r w:rsidRPr="002E1A9C">
        <w:rPr>
          <w:rFonts w:ascii="BaskervilleT" w:eastAsia="Times New Roman" w:hAnsi="BaskervilleT" w:cs="Times New Roman"/>
          <w:sz w:val="24"/>
          <w:szCs w:val="24"/>
          <w:lang w:val="es-PY"/>
        </w:rPr>
        <w:t xml:space="preserve"> por cuenta de este y, contraer pasivos de corto y largo plazo</w:t>
      </w:r>
      <w:r w:rsidR="00DC6542" w:rsidRPr="002E1A9C">
        <w:rPr>
          <w:rFonts w:ascii="BaskervilleT" w:eastAsia="Times New Roman" w:hAnsi="BaskervilleT" w:cs="Times New Roman"/>
          <w:sz w:val="24"/>
          <w:szCs w:val="24"/>
          <w:lang w:val="es-PY"/>
        </w:rPr>
        <w:t>,</w:t>
      </w:r>
      <w:r w:rsidRPr="002E1A9C">
        <w:rPr>
          <w:rFonts w:ascii="BaskervilleT" w:eastAsia="Times New Roman" w:hAnsi="BaskervilleT" w:cs="Times New Roman"/>
          <w:sz w:val="24"/>
          <w:szCs w:val="24"/>
          <w:lang w:val="es-PY"/>
        </w:rPr>
        <w:t xml:space="preserve"> hasta por un porcentaje equivalente al </w:t>
      </w:r>
      <w:sdt>
        <w:sdtPr>
          <w:rPr>
            <w:rFonts w:ascii="BaskervilleT" w:hAnsi="BaskervilleT"/>
            <w:sz w:val="24"/>
            <w:szCs w:val="24"/>
            <w:highlight w:val="lightGray"/>
          </w:rPr>
          <w:id w:val="-958881257"/>
          <w:placeholder>
            <w:docPart w:val="DD3DFBEF74574C19998A38E16AAF3789"/>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listItem w:displayText="150 % " w:value="150 % "/>
            <w:listItem w:displayText="200 %" w:value="200 %"/>
            <w:listItem w:displayText="250 % " w:value="250 % "/>
            <w:listItem w:displayText="300 % " w:value="300 % "/>
          </w:comboBox>
        </w:sdtPr>
        <w:sdtEndPr/>
        <w:sdtContent>
          <w:r w:rsidRPr="002E1A9C">
            <w:rPr>
              <w:rStyle w:val="Textodelmarcadordeposicin"/>
              <w:rFonts w:ascii="BaskervilleT" w:hAnsi="BaskervilleT"/>
              <w:sz w:val="24"/>
              <w:szCs w:val="24"/>
              <w:highlight w:val="lightGray"/>
            </w:rPr>
            <w:t>Elija un elemento.</w:t>
          </w:r>
        </w:sdtContent>
      </w:sdt>
      <w:r w:rsidRPr="002E1A9C">
        <w:rPr>
          <w:rFonts w:ascii="BaskervilleT" w:hAnsi="BaskervilleT"/>
          <w:sz w:val="24"/>
          <w:szCs w:val="24"/>
        </w:rPr>
        <w:t xml:space="preserve"> </w:t>
      </w:r>
      <w:r w:rsidRPr="002E1A9C">
        <w:rPr>
          <w:rFonts w:ascii="BaskervilleT" w:eastAsia="Times New Roman" w:hAnsi="BaskervilleT" w:cs="Times New Roman"/>
          <w:sz w:val="24"/>
          <w:szCs w:val="24"/>
          <w:lang w:val="es-PY"/>
        </w:rPr>
        <w:t xml:space="preserve">del </w:t>
      </w:r>
      <w:r w:rsidRPr="002604D9">
        <w:rPr>
          <w:rFonts w:ascii="BaskervilleT" w:eastAsia="Times New Roman" w:hAnsi="BaskervilleT" w:cs="Times New Roman"/>
          <w:sz w:val="24"/>
          <w:szCs w:val="24"/>
          <w:lang w:val="es-PY"/>
        </w:rPr>
        <w:t>patrimonio neto</w:t>
      </w:r>
      <w:r w:rsidRPr="002E1A9C">
        <w:rPr>
          <w:rFonts w:ascii="BaskervilleT" w:eastAsia="Times New Roman" w:hAnsi="BaskervilleT" w:cs="Times New Roman"/>
          <w:sz w:val="24"/>
          <w:szCs w:val="24"/>
          <w:lang w:val="es-PY"/>
        </w:rPr>
        <w:t xml:space="preserve"> del Fondo, tanto como límite individual para el endeudamiento de corto y largo plazo, como también límite global para dichos endeudamientos, y operaciones de reporto cuyo plazo máximo de operación sea de hasta </w:t>
      </w:r>
      <w:sdt>
        <w:sdtPr>
          <w:rPr>
            <w:rFonts w:ascii="BaskervilleT" w:eastAsia="Times New Roman" w:hAnsi="BaskervilleT" w:cs="Times New Roman"/>
            <w:sz w:val="24"/>
            <w:szCs w:val="24"/>
            <w:highlight w:val="lightGray"/>
            <w:lang w:val="es-PY"/>
          </w:rPr>
          <w:id w:val="-1471659890"/>
          <w:placeholder>
            <w:docPart w:val="711D91DC85C140B08A977FF0065A1A61"/>
          </w:placeholder>
          <w:showingPlcHdr/>
          <w:comboBox>
            <w:listItem w:value="Elija un elemento."/>
            <w:listItem w:displayText="30 días" w:value="30 días"/>
            <w:listItem w:displayText="60 días" w:value="60 días"/>
            <w:listItem w:displayText="90 días" w:value="90 días"/>
            <w:listItem w:displayText="120 días" w:value="120 días"/>
            <w:listItem w:displayText="180 días " w:value="180 días "/>
            <w:listItem w:displayText="270 días" w:value="270 días"/>
            <w:listItem w:displayText="365 días" w:value="365 días"/>
          </w:comboBox>
        </w:sdtPr>
        <w:sdtEndPr/>
        <w:sdtContent>
          <w:r w:rsidRPr="002E1A9C">
            <w:rPr>
              <w:rStyle w:val="Textodelmarcadordeposicin"/>
              <w:rFonts w:ascii="BaskervilleT" w:hAnsi="BaskervilleT"/>
              <w:sz w:val="24"/>
              <w:szCs w:val="24"/>
              <w:highlight w:val="lightGray"/>
            </w:rPr>
            <w:t>Elija un elemento.</w:t>
          </w:r>
        </w:sdtContent>
      </w:sdt>
    </w:p>
    <w:p w14:paraId="484DDD69" w14:textId="4B94B897" w:rsidR="00A4493F" w:rsidRPr="002E1A9C" w:rsidRDefault="00954277"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w:t>
      </w:r>
      <w:r w:rsidR="005066F0" w:rsidRPr="002E1A9C">
        <w:rPr>
          <w:rFonts w:ascii="BaskervilleT" w:eastAsia="Times New Roman" w:hAnsi="BaskervilleT" w:cs="Times New Roman"/>
          <w:sz w:val="24"/>
          <w:szCs w:val="24"/>
          <w:lang w:val="es-PY"/>
        </w:rPr>
        <w:t>l Fondo podrá contratar créditos con entidades financieras u otros agentes cuando el último vencimiento sea al menos</w:t>
      </w:r>
      <w:r w:rsidR="00292D57">
        <w:rPr>
          <w:rFonts w:ascii="BaskervilleT" w:eastAsia="Times New Roman" w:hAnsi="BaskervilleT" w:cs="Times New Roman"/>
          <w:sz w:val="24"/>
          <w:szCs w:val="24"/>
          <w:lang w:val="es-PY"/>
        </w:rPr>
        <w:t xml:space="preserve"> 30</w:t>
      </w:r>
      <w:r w:rsidR="005066F0" w:rsidRPr="002E1A9C">
        <w:rPr>
          <w:rFonts w:ascii="BaskervilleT" w:eastAsia="Times New Roman" w:hAnsi="BaskervilleT" w:cs="Times New Roman"/>
          <w:sz w:val="24"/>
          <w:szCs w:val="24"/>
          <w:lang w:val="es-PY"/>
        </w:rPr>
        <w:t xml:space="preserve"> </w:t>
      </w:r>
      <w:r w:rsidR="00292D57">
        <w:rPr>
          <w:rFonts w:ascii="BaskervilleT" w:eastAsia="Times New Roman" w:hAnsi="BaskervilleT" w:cs="Times New Roman"/>
          <w:sz w:val="24"/>
          <w:szCs w:val="24"/>
          <w:lang w:val="es-PY"/>
        </w:rPr>
        <w:t>(</w:t>
      </w:r>
      <w:r w:rsidR="005066F0" w:rsidRPr="002E1A9C">
        <w:rPr>
          <w:rFonts w:ascii="BaskervilleT" w:eastAsia="Times New Roman" w:hAnsi="BaskervilleT" w:cs="Times New Roman"/>
          <w:sz w:val="24"/>
          <w:szCs w:val="24"/>
          <w:lang w:val="es-PY"/>
        </w:rPr>
        <w:t>treinta</w:t>
      </w:r>
      <w:r w:rsidR="00292D57">
        <w:rPr>
          <w:rFonts w:ascii="BaskervilleT" w:eastAsia="Times New Roman" w:hAnsi="BaskervilleT" w:cs="Times New Roman"/>
          <w:sz w:val="24"/>
          <w:szCs w:val="24"/>
          <w:lang w:val="es-PY"/>
        </w:rPr>
        <w:t>)</w:t>
      </w:r>
      <w:r w:rsidR="005066F0" w:rsidRPr="002E1A9C">
        <w:rPr>
          <w:rFonts w:ascii="BaskervilleT" w:eastAsia="Times New Roman" w:hAnsi="BaskervilleT" w:cs="Times New Roman"/>
          <w:sz w:val="24"/>
          <w:szCs w:val="24"/>
          <w:lang w:val="es-PY"/>
        </w:rPr>
        <w:t xml:space="preserve"> días antes de la fecha de liquidación del Fondo.</w:t>
      </w:r>
      <w:bookmarkStart w:id="12" w:name="_Hlk178861261"/>
    </w:p>
    <w:bookmarkEnd w:id="12"/>
    <w:p w14:paraId="0E67043F" w14:textId="77777777" w:rsidR="005066F0" w:rsidRPr="002E1A9C" w:rsidRDefault="005066F0" w:rsidP="005066F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POLÍTICA SOBRE AUMENTO DE CAPITAL</w:t>
      </w:r>
    </w:p>
    <w:p w14:paraId="211A9930"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Podrán efectuarse nuevas emisiones de cuotas por acuerdo de una Asamblea Extraordinaria de Partícipes del Fondo, considerando las posibilidades de crecimiento de las inversiones del Fondo y las necesidades de financiamiento de este.</w:t>
      </w:r>
    </w:p>
    <w:p w14:paraId="1473980A"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Cada vez que se efectúe una oferta preferente de suscripción de cuotas, la Sociedad Administradora deberá comunicar a los titulares de cuotas con derecho a concurrir a la suscripción preferente, dejando constancia de las opciones para suscribir cuotas de aumento de capital del Fondo. Los titulares de cuotas con derecho a suscribir las opciones o los cesionarios de éstas manifestarán por escrito a la Sociedad Administradora su intención de suscribir las cuotas dentro del plazo de 30 (treinta) días contados desde la fecha de publicación del aviso en un diario de amplia difusión y circulación nacional. De no existir manifestación dentro de dicho plazo se entenderá como renuncia a este derecho.</w:t>
      </w:r>
    </w:p>
    <w:p w14:paraId="319C63B1"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La transferencia de opciones de suscripción de cuotas se hará mediante instrumento privado suscrito por el cedente y el cesionario, ante un intermediario de valores o ante Escribano Público, en el que se detallarán las opciones objeto de transferencia.</w:t>
      </w:r>
    </w:p>
    <w:p w14:paraId="32C056FB" w14:textId="77777777" w:rsidR="005066F0" w:rsidRPr="002E1A9C" w:rsidRDefault="005066F0" w:rsidP="005066F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POLÍTICA DE REPARTO DE BENEFICIOS</w:t>
      </w:r>
    </w:p>
    <w:p w14:paraId="17D5A1FE" w14:textId="0D91EB2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 xml:space="preserve">El Fondo podrá distribuir los beneficios netos percibidos por el Fondo durante el ejercicio anual, según decisión de la </w:t>
      </w:r>
      <w:r w:rsidR="007950CC">
        <w:rPr>
          <w:rFonts w:ascii="BaskervilleT" w:eastAsia="Times New Roman" w:hAnsi="BaskervilleT" w:cs="Times New Roman"/>
          <w:sz w:val="24"/>
          <w:szCs w:val="24"/>
        </w:rPr>
        <w:t>A</w:t>
      </w:r>
      <w:r w:rsidRPr="002E1A9C">
        <w:rPr>
          <w:rFonts w:ascii="BaskervilleT" w:eastAsia="Times New Roman" w:hAnsi="BaskervilleT" w:cs="Times New Roman"/>
          <w:sz w:val="24"/>
          <w:szCs w:val="24"/>
        </w:rPr>
        <w:t xml:space="preserve">samblea de Partícipes. Para estos efectos, se </w:t>
      </w:r>
      <w:r w:rsidRPr="002E1A9C">
        <w:rPr>
          <w:rFonts w:ascii="BaskervilleT" w:eastAsia="Times New Roman" w:hAnsi="BaskervilleT" w:cs="Times New Roman"/>
          <w:sz w:val="24"/>
          <w:szCs w:val="24"/>
        </w:rPr>
        <w:lastRenderedPageBreak/>
        <w:t>considerará por “Beneficios Netos Percibidos” por el Fondo durante un ejercicio, la cantidad que resulte de restar a la suma de utilidades, intereses, dividendos y ganancias de capital efectivamente percibidas en dicho ejercicio, el total de pérdidas y gastos devengados en el período.</w:t>
      </w:r>
    </w:p>
    <w:p w14:paraId="79B459B2"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rPr>
        <w:t>El reparto de beneficios netos deberá efectuarse</w:t>
      </w:r>
      <w:r w:rsidRPr="002E1A9C">
        <w:rPr>
          <w:rFonts w:ascii="BaskervilleT" w:eastAsia="Times New Roman" w:hAnsi="BaskervilleT" w:cs="Times New Roman"/>
          <w:sz w:val="24"/>
          <w:szCs w:val="24"/>
          <w:lang w:val="es-PY"/>
        </w:rPr>
        <w:t xml:space="preserve"> con base en la normativa aplicable.</w:t>
      </w:r>
      <w:r w:rsidRPr="002E1A9C" w:rsidDel="00411547">
        <w:rPr>
          <w:rFonts w:ascii="BaskervilleT" w:eastAsia="Times New Roman" w:hAnsi="BaskervilleT" w:cs="Times New Roman"/>
          <w:sz w:val="24"/>
          <w:szCs w:val="24"/>
          <w:lang w:val="es-PY"/>
        </w:rPr>
        <w:t xml:space="preserve"> </w:t>
      </w:r>
      <w:r w:rsidRPr="002E1A9C">
        <w:rPr>
          <w:rFonts w:ascii="BaskervilleT" w:hAnsi="BaskervilleT"/>
          <w:color w:val="808080" w:themeColor="background1" w:themeShade="80"/>
          <w:sz w:val="24"/>
          <w:szCs w:val="24"/>
        </w:rPr>
        <w:t xml:space="preserve"> </w:t>
      </w:r>
    </w:p>
    <w:p w14:paraId="16E20C5C" w14:textId="6BD92A39"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 xml:space="preserve">Tienen derechos a percibir el beneficio neto los cuotapartistas inscriptos en el Registro de Participes </w:t>
      </w:r>
      <w:r w:rsidR="007950CC">
        <w:rPr>
          <w:rFonts w:ascii="BaskervilleT" w:eastAsia="Times New Roman" w:hAnsi="BaskervilleT" w:cs="Times New Roman"/>
          <w:sz w:val="24"/>
          <w:szCs w:val="24"/>
        </w:rPr>
        <w:t>1 (</w:t>
      </w:r>
      <w:r w:rsidRPr="002E1A9C">
        <w:rPr>
          <w:rFonts w:ascii="BaskervilleT" w:eastAsia="Times New Roman" w:hAnsi="BaskervilleT" w:cs="Times New Roman"/>
          <w:sz w:val="24"/>
          <w:szCs w:val="24"/>
        </w:rPr>
        <w:t>un</w:t>
      </w:r>
      <w:r w:rsidR="007950CC">
        <w:rPr>
          <w:rFonts w:ascii="BaskervilleT" w:eastAsia="Times New Roman" w:hAnsi="BaskervilleT" w:cs="Times New Roman"/>
          <w:sz w:val="24"/>
          <w:szCs w:val="24"/>
        </w:rPr>
        <w:t>)</w:t>
      </w:r>
      <w:r w:rsidRPr="002E1A9C">
        <w:rPr>
          <w:rFonts w:ascii="BaskervilleT" w:eastAsia="Times New Roman" w:hAnsi="BaskervilleT" w:cs="Times New Roman"/>
          <w:sz w:val="24"/>
          <w:szCs w:val="24"/>
        </w:rPr>
        <w:t xml:space="preserve"> día hábil antes a la fecha a la que efectivamente se pagará dicha distribución.</w:t>
      </w:r>
    </w:p>
    <w:p w14:paraId="7900E149" w14:textId="77777777" w:rsidR="005066F0" w:rsidRPr="002E1A9C" w:rsidRDefault="005066F0" w:rsidP="00FA0B4A">
      <w:pPr>
        <w:pStyle w:val="Prrafodelista"/>
        <w:numPr>
          <w:ilvl w:val="1"/>
          <w:numId w:val="38"/>
        </w:numPr>
        <w:spacing w:line="240" w:lineRule="atLeast"/>
        <w:ind w:left="714" w:hanging="357"/>
        <w:contextualSpacing w:val="0"/>
        <w:jc w:val="both"/>
        <w:rPr>
          <w:rFonts w:ascii="BaskervilleT" w:eastAsia="Times New Roman" w:hAnsi="BaskervilleT" w:cs="Times New Roman"/>
          <w:sz w:val="24"/>
          <w:szCs w:val="24"/>
        </w:rPr>
      </w:pPr>
      <w:r w:rsidRPr="002E1A9C">
        <w:rPr>
          <w:rFonts w:ascii="BaskervilleT" w:eastAsia="Times New Roman" w:hAnsi="BaskervilleT" w:cs="Times New Roman"/>
          <w:sz w:val="24"/>
          <w:szCs w:val="24"/>
        </w:rPr>
        <w:t>Los beneficios netos obtenidos podrán ser reinvertidos.</w:t>
      </w:r>
    </w:p>
    <w:p w14:paraId="30C7DB93" w14:textId="02D1E83E" w:rsidR="005066F0" w:rsidRPr="002E1A9C" w:rsidRDefault="005066F0" w:rsidP="00A80E0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NORMAS DE GOBIERNO DEL FONDO</w:t>
      </w:r>
    </w:p>
    <w:p w14:paraId="5F2FC0D2" w14:textId="1658F337" w:rsidR="005066F0" w:rsidRPr="002E1A9C" w:rsidRDefault="005066F0" w:rsidP="00FA0B4A">
      <w:pPr>
        <w:pStyle w:val="Prrafodelista"/>
        <w:numPr>
          <w:ilvl w:val="1"/>
          <w:numId w:val="38"/>
        </w:numPr>
        <w:spacing w:line="240" w:lineRule="atLeast"/>
        <w:contextualSpacing w:val="0"/>
        <w:jc w:val="both"/>
        <w:rPr>
          <w:rFonts w:ascii="BaskervilleT" w:hAnsi="BaskervilleT"/>
          <w:sz w:val="24"/>
          <w:szCs w:val="24"/>
        </w:rPr>
      </w:pPr>
      <w:r w:rsidRPr="002E1A9C">
        <w:rPr>
          <w:rFonts w:ascii="BaskervilleT" w:hAnsi="BaskervilleT"/>
          <w:sz w:val="24"/>
          <w:szCs w:val="24"/>
        </w:rPr>
        <w:t xml:space="preserve">Son materia de las Asambleas Ordinaria y Extraordinaria de Partícipes las establecidas </w:t>
      </w:r>
      <w:r w:rsidRPr="002E1A9C">
        <w:rPr>
          <w:rFonts w:ascii="BaskervilleT" w:eastAsia="Times New Roman" w:hAnsi="BaskervilleT" w:cs="Times New Roman"/>
          <w:sz w:val="24"/>
          <w:szCs w:val="24"/>
          <w:lang w:val="es-PY"/>
        </w:rPr>
        <w:t>en la Ley que regula los Fondos Patrimoniales de Inversión y en el Reglamento General del Mercado de Valores</w:t>
      </w:r>
      <w:r w:rsidR="00FA71F7">
        <w:rPr>
          <w:rFonts w:ascii="BaskervilleT" w:hAnsi="BaskervilleT"/>
          <w:sz w:val="24"/>
          <w:szCs w:val="24"/>
        </w:rPr>
        <w:t xml:space="preserve">; y, </w:t>
      </w:r>
    </w:p>
    <w:p w14:paraId="0DF76EA6" w14:textId="332997E8" w:rsidR="00924806" w:rsidRPr="004920F3" w:rsidRDefault="00BF519F" w:rsidP="00FA0B4A">
      <w:pPr>
        <w:pStyle w:val="Prrafodelista"/>
        <w:numPr>
          <w:ilvl w:val="2"/>
          <w:numId w:val="38"/>
        </w:numPr>
        <w:spacing w:line="240" w:lineRule="atLeast"/>
        <w:contextualSpacing w:val="0"/>
        <w:jc w:val="both"/>
        <w:rPr>
          <w:rFonts w:ascii="BaskervilleT" w:hAnsi="BaskervilleT"/>
          <w:sz w:val="24"/>
          <w:szCs w:val="24"/>
        </w:rPr>
      </w:pPr>
      <w:r>
        <w:rPr>
          <w:rFonts w:ascii="BaskervilleT" w:hAnsi="BaskervilleT"/>
          <w:color w:val="808080" w:themeColor="background1" w:themeShade="80"/>
          <w:sz w:val="24"/>
          <w:szCs w:val="24"/>
        </w:rPr>
        <w:fldChar w:fldCharType="begin">
          <w:ffData>
            <w:name w:val="Texto8"/>
            <w:enabled/>
            <w:calcOnExit w:val="0"/>
            <w:textInput>
              <w:default w:val="otros asuntos que corresponderá a la Asamblea extraordinaria de partícipes no contempladas en la Ley de Fondos."/>
            </w:textInput>
          </w:ffData>
        </w:fldChar>
      </w:r>
      <w:bookmarkStart w:id="13" w:name="Texto8"/>
      <w:r>
        <w:rPr>
          <w:rFonts w:ascii="BaskervilleT" w:hAnsi="BaskervilleT"/>
          <w:color w:val="808080" w:themeColor="background1" w:themeShade="80"/>
          <w:sz w:val="24"/>
          <w:szCs w:val="24"/>
        </w:rPr>
        <w:instrText xml:space="preserve"> FORMTEXT </w:instrText>
      </w:r>
      <w:r>
        <w:rPr>
          <w:rFonts w:ascii="BaskervilleT" w:hAnsi="BaskervilleT"/>
          <w:color w:val="808080" w:themeColor="background1" w:themeShade="80"/>
          <w:sz w:val="24"/>
          <w:szCs w:val="24"/>
        </w:rPr>
      </w:r>
      <w:r>
        <w:rPr>
          <w:rFonts w:ascii="BaskervilleT" w:hAnsi="BaskervilleT"/>
          <w:color w:val="808080" w:themeColor="background1" w:themeShade="80"/>
          <w:sz w:val="24"/>
          <w:szCs w:val="24"/>
        </w:rPr>
        <w:fldChar w:fldCharType="separate"/>
      </w:r>
      <w:r>
        <w:rPr>
          <w:rFonts w:ascii="BaskervilleT" w:hAnsi="BaskervilleT"/>
          <w:noProof/>
          <w:color w:val="808080" w:themeColor="background1" w:themeShade="80"/>
          <w:sz w:val="24"/>
          <w:szCs w:val="24"/>
        </w:rPr>
        <w:t>otros asuntos que corresponderá a la Asamblea extraordinaria de partícipes no contempladas en la Ley de Fondos.</w:t>
      </w:r>
      <w:r>
        <w:rPr>
          <w:rFonts w:ascii="BaskervilleT" w:hAnsi="BaskervilleT"/>
          <w:color w:val="808080" w:themeColor="background1" w:themeShade="80"/>
          <w:sz w:val="24"/>
          <w:szCs w:val="24"/>
        </w:rPr>
        <w:fldChar w:fldCharType="end"/>
      </w:r>
      <w:bookmarkEnd w:id="13"/>
    </w:p>
    <w:p w14:paraId="46052682" w14:textId="77777777" w:rsidR="005066F0" w:rsidRPr="002E1A9C" w:rsidRDefault="005066F0" w:rsidP="00FA0B4A">
      <w:pPr>
        <w:pStyle w:val="Prrafodelista"/>
        <w:numPr>
          <w:ilvl w:val="1"/>
          <w:numId w:val="38"/>
        </w:numPr>
        <w:spacing w:line="240" w:lineRule="atLeast"/>
        <w:contextualSpacing w:val="0"/>
        <w:jc w:val="both"/>
        <w:rPr>
          <w:rFonts w:ascii="BaskervilleT" w:eastAsia="Times New Roman" w:hAnsi="BaskervilleT" w:cs="Times New Roman"/>
          <w:iCs/>
          <w:sz w:val="24"/>
          <w:szCs w:val="24"/>
          <w:lang w:val="es-PY"/>
        </w:rPr>
      </w:pPr>
      <w:r w:rsidRPr="002E1A9C">
        <w:rPr>
          <w:rFonts w:ascii="BaskervilleT" w:eastAsia="Times New Roman" w:hAnsi="BaskervilleT" w:cs="Times New Roman"/>
          <w:iCs/>
          <w:sz w:val="24"/>
          <w:szCs w:val="24"/>
          <w:lang w:val="es-PY"/>
        </w:rPr>
        <w:t>Terminado el período de suscripción y pago de cuotas, ninguna persona podrá controlar, por sí sola o en un acuerdo de actuación conjunta, más de un 25% (veinticinco por ciento) de las cuotas del Fondo. La Sociedad Administradora velará por que el citado porcentaje máximo, no sea excedido por colocaciones de cuotas efectuadas por su cuenta y por las demás personas indicadas, y si así ocurriere, dichas personas deberán enajenar las cuotas partes que exceden el 25% (veinticinco por ciento) en un plazo de 6 (seis) meses. En tanto subsista la situación de exceso, las personas alcanzadas que excedan el porcentaje señalado, no podrán votar en Asambleas de Partícipes.</w:t>
      </w:r>
    </w:p>
    <w:p w14:paraId="28B89566" w14:textId="05B46056" w:rsidR="005066F0" w:rsidRPr="002E1A9C" w:rsidRDefault="005066F0" w:rsidP="00FA0B4A">
      <w:pPr>
        <w:pStyle w:val="Prrafodelista"/>
        <w:numPr>
          <w:ilvl w:val="1"/>
          <w:numId w:val="38"/>
        </w:numPr>
        <w:spacing w:line="240" w:lineRule="atLeast"/>
        <w:contextualSpacing w:val="0"/>
        <w:jc w:val="both"/>
        <w:rPr>
          <w:rFonts w:ascii="BaskervilleT" w:hAnsi="BaskervilleT"/>
          <w:sz w:val="24"/>
          <w:szCs w:val="24"/>
        </w:rPr>
      </w:pPr>
      <w:r w:rsidRPr="002E1A9C">
        <w:rPr>
          <w:rFonts w:ascii="BaskervilleT" w:hAnsi="BaskervilleT"/>
          <w:sz w:val="24"/>
          <w:szCs w:val="24"/>
        </w:rPr>
        <w:t xml:space="preserve">El Fondo contará con un Comité de Vigilancia que estará compuesto por 3 (tres) representantes de los partícipes del Fondo, que serán elegidos en </w:t>
      </w:r>
      <w:r w:rsidR="007950CC">
        <w:rPr>
          <w:rFonts w:ascii="BaskervilleT" w:hAnsi="BaskervilleT"/>
          <w:sz w:val="24"/>
          <w:szCs w:val="24"/>
        </w:rPr>
        <w:t>A</w:t>
      </w:r>
      <w:r w:rsidRPr="002E1A9C">
        <w:rPr>
          <w:rFonts w:ascii="BaskervilleT" w:hAnsi="BaskervilleT"/>
          <w:sz w:val="24"/>
          <w:szCs w:val="24"/>
        </w:rPr>
        <w:t xml:space="preserve">samblea </w:t>
      </w:r>
      <w:r w:rsidR="007950CC">
        <w:rPr>
          <w:rFonts w:ascii="BaskervilleT" w:hAnsi="BaskervilleT"/>
          <w:sz w:val="24"/>
          <w:szCs w:val="24"/>
        </w:rPr>
        <w:t>O</w:t>
      </w:r>
      <w:r w:rsidRPr="002E1A9C">
        <w:rPr>
          <w:rFonts w:ascii="BaskervilleT" w:hAnsi="BaskervilleT"/>
          <w:sz w:val="24"/>
          <w:szCs w:val="24"/>
        </w:rPr>
        <w:t>rdinaria y durarán un 1 (año) en sus cargos, pudiendo ser reelegidos y remunerados con cargo al Fondo.</w:t>
      </w:r>
      <w:r w:rsidR="003B124E">
        <w:rPr>
          <w:rFonts w:ascii="BaskervilleT" w:hAnsi="BaskervilleT"/>
          <w:sz w:val="24"/>
          <w:szCs w:val="24"/>
        </w:rPr>
        <w:t xml:space="preserve"> </w:t>
      </w:r>
      <w:r w:rsidR="003B124E" w:rsidRPr="003B124E">
        <w:rPr>
          <w:rFonts w:ascii="BaskervilleT" w:hAnsi="BaskervilleT"/>
          <w:sz w:val="24"/>
          <w:szCs w:val="24"/>
        </w:rPr>
        <w:t xml:space="preserve">Las atribuciones del Comité de Vigilancia están establecidas en la Ley que regula los Fondos </w:t>
      </w:r>
      <w:r w:rsidR="00E254C2">
        <w:rPr>
          <w:rFonts w:ascii="BaskervilleT" w:hAnsi="BaskervilleT"/>
          <w:sz w:val="24"/>
          <w:szCs w:val="24"/>
        </w:rPr>
        <w:t>P</w:t>
      </w:r>
      <w:r w:rsidR="003B124E" w:rsidRPr="003B124E">
        <w:rPr>
          <w:rFonts w:ascii="BaskervilleT" w:hAnsi="BaskervilleT"/>
          <w:sz w:val="24"/>
          <w:szCs w:val="24"/>
        </w:rPr>
        <w:t xml:space="preserve">atrimoniales de </w:t>
      </w:r>
      <w:r w:rsidR="00E254C2">
        <w:rPr>
          <w:rFonts w:ascii="BaskervilleT" w:hAnsi="BaskervilleT"/>
          <w:sz w:val="24"/>
          <w:szCs w:val="24"/>
        </w:rPr>
        <w:t>I</w:t>
      </w:r>
      <w:r w:rsidR="003B124E" w:rsidRPr="003B124E">
        <w:rPr>
          <w:rFonts w:ascii="BaskervilleT" w:hAnsi="BaskervilleT"/>
          <w:sz w:val="24"/>
          <w:szCs w:val="24"/>
        </w:rPr>
        <w:t>nversión</w:t>
      </w:r>
      <w:r w:rsidR="007233C6">
        <w:rPr>
          <w:rFonts w:ascii="BaskervilleT" w:hAnsi="BaskervilleT"/>
          <w:sz w:val="24"/>
          <w:szCs w:val="24"/>
        </w:rPr>
        <w:t>.</w:t>
      </w:r>
      <w:r w:rsidRPr="002E1A9C">
        <w:rPr>
          <w:rFonts w:ascii="BaskervilleT" w:hAnsi="BaskervilleT"/>
          <w:sz w:val="24"/>
          <w:szCs w:val="24"/>
        </w:rPr>
        <w:t xml:space="preserve"> Las actividades y funciones que</w:t>
      </w:r>
      <w:r w:rsidR="007950CC">
        <w:rPr>
          <w:rFonts w:ascii="BaskervilleT" w:hAnsi="BaskervilleT"/>
          <w:sz w:val="24"/>
          <w:szCs w:val="24"/>
        </w:rPr>
        <w:t xml:space="preserve"> el</w:t>
      </w:r>
      <w:r w:rsidRPr="002E1A9C">
        <w:rPr>
          <w:rFonts w:ascii="BaskervilleT" w:hAnsi="BaskervilleT"/>
          <w:sz w:val="24"/>
          <w:szCs w:val="24"/>
        </w:rPr>
        <w:t xml:space="preserve"> Comité de Vigilancia desarrollará para el cumplimiento de las atribuciones que establece la Ley de Fondos son: </w:t>
      </w:r>
    </w:p>
    <w:p w14:paraId="4C483701" w14:textId="77777777"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Comprobar que la Sociedad Administradora cumpla lo dispuesto en el reglamento del Fondo. </w:t>
      </w:r>
    </w:p>
    <w:p w14:paraId="0973101C" w14:textId="77777777"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Verificar que la información para los partícipes sea suficiente, veraz y oportuna. </w:t>
      </w:r>
    </w:p>
    <w:p w14:paraId="1E3DC77C" w14:textId="42E07480"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Constatar que las inversiones, variaciones de capital u operaciones del Fondo se realicen de acuerdo con la Ley y con el presente Reglamento. En caso de que la mayoría de los miembros del Comité de Vigilancia determine que la Sociedad Administradora ha actuado en contravención a dichas normas, </w:t>
      </w:r>
      <w:r w:rsidR="008802DB" w:rsidRPr="008802DB">
        <w:rPr>
          <w:rFonts w:ascii="BaskervilleT" w:eastAsia="Times New Roman" w:hAnsi="BaskervilleT" w:cs="Times New Roman"/>
          <w:sz w:val="24"/>
          <w:szCs w:val="24"/>
          <w:lang w:val="es-PY"/>
        </w:rPr>
        <w:t>éste deberá citar, en un plazo no mayor a 15 (quince) días, contados desde la fecha del acuerdo, a una Asamblea Extraordinaria de Partícipes, donde se informará de esta situación</w:t>
      </w:r>
      <w:r w:rsidRPr="002E1A9C">
        <w:rPr>
          <w:rFonts w:ascii="BaskervilleT" w:eastAsia="Times New Roman" w:hAnsi="BaskervilleT" w:cs="Times New Roman"/>
          <w:sz w:val="24"/>
          <w:szCs w:val="24"/>
          <w:lang w:val="es-PY"/>
        </w:rPr>
        <w:t xml:space="preserve">. </w:t>
      </w:r>
    </w:p>
    <w:p w14:paraId="431A9432" w14:textId="77777777"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lastRenderedPageBreak/>
        <w:t xml:space="preserve">Contratar los servicios necesarios para el cumplimiento de sus funciones. </w:t>
      </w:r>
    </w:p>
    <w:p w14:paraId="6DB42C2F" w14:textId="77777777"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Proponer a la Asamblea Extraordinaria de Partícipes la sustitución de la Sociedad Administradora del Fondo. </w:t>
      </w:r>
    </w:p>
    <w:p w14:paraId="3410081A" w14:textId="77777777" w:rsidR="005066F0" w:rsidRPr="002E1A9C" w:rsidRDefault="005066F0" w:rsidP="00FA0B4A">
      <w:pPr>
        <w:pStyle w:val="Prrafodelista"/>
        <w:numPr>
          <w:ilvl w:val="2"/>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Proponer a la Asamblea Extraordinaria de Partícipes la designación de auditores externos de aquellos inscriptos en el registro que al efecto lleva la Superintendencia de Valores, para que dictaminen sobre el Fondo. </w:t>
      </w:r>
    </w:p>
    <w:p w14:paraId="19CEFB29" w14:textId="77777777" w:rsidR="005066F0" w:rsidRPr="002E1A9C" w:rsidRDefault="005066F0" w:rsidP="00FA0B4A">
      <w:pPr>
        <w:pStyle w:val="Prrafodelista"/>
        <w:numPr>
          <w:ilvl w:val="1"/>
          <w:numId w:val="38"/>
        </w:numPr>
        <w:spacing w:line="240" w:lineRule="atLeast"/>
        <w:contextualSpacing w:val="0"/>
        <w:jc w:val="both"/>
        <w:rPr>
          <w:rFonts w:ascii="BaskervilleT" w:hAnsi="BaskervilleT"/>
          <w:sz w:val="24"/>
          <w:szCs w:val="24"/>
        </w:rPr>
      </w:pPr>
      <w:r w:rsidRPr="002E1A9C">
        <w:rPr>
          <w:rFonts w:ascii="BaskervilleT" w:hAnsi="BaskervilleT"/>
          <w:sz w:val="24"/>
          <w:szCs w:val="24"/>
        </w:rPr>
        <w:t>Cada miembro del Comité de Vigilancia tiene derecho a ser informado plena y documentadamente, y en cualquier momento, por la Sociedad Administradora sobre todo lo relacionado con la operación del Fondo. La Sociedad Administradora deberá entregar al Comité de Vigilancia toda la información que este requiera para imponerse de la situación del Fondo y cumplir cabalmente con sus obligaciones legales.</w:t>
      </w:r>
    </w:p>
    <w:p w14:paraId="064D2C57" w14:textId="7B99F7F3" w:rsidR="00924806" w:rsidRPr="002E1A9C" w:rsidRDefault="00924806" w:rsidP="00FA0B4A">
      <w:pPr>
        <w:pStyle w:val="Prrafodelista"/>
        <w:numPr>
          <w:ilvl w:val="1"/>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hAnsi="BaskervilleT"/>
          <w:sz w:val="24"/>
          <w:szCs w:val="24"/>
        </w:rPr>
        <w:t>En el desempeño de sus funciones</w:t>
      </w:r>
      <w:r w:rsidR="00243666">
        <w:rPr>
          <w:rFonts w:ascii="BaskervilleT" w:hAnsi="BaskervilleT"/>
          <w:sz w:val="24"/>
          <w:szCs w:val="24"/>
        </w:rPr>
        <w:t>,</w:t>
      </w:r>
      <w:r w:rsidRPr="002E1A9C">
        <w:rPr>
          <w:rFonts w:ascii="BaskervilleT" w:hAnsi="BaskervilleT"/>
          <w:sz w:val="24"/>
          <w:szCs w:val="24"/>
        </w:rPr>
        <w:t xml:space="preserve"> el Comité de Vigilancia celebrará sesiones periódicas, debiendo </w:t>
      </w:r>
      <w:r w:rsidR="005066F0" w:rsidRPr="002E1A9C">
        <w:rPr>
          <w:rFonts w:ascii="BaskervilleT" w:eastAsia="Times New Roman" w:hAnsi="BaskervilleT" w:cs="Times New Roman"/>
          <w:sz w:val="24"/>
          <w:szCs w:val="24"/>
          <w:lang w:val="es-PY"/>
        </w:rPr>
        <w:t xml:space="preserve">sesionar al menos una vez cada 6 (seis) meses, y en las fechas predeterminadas por sus miembros. </w:t>
      </w:r>
    </w:p>
    <w:p w14:paraId="04043DE5" w14:textId="77777777" w:rsidR="00924806" w:rsidRPr="002E1A9C" w:rsidRDefault="00924806" w:rsidP="00FA0B4A">
      <w:pPr>
        <w:pStyle w:val="Prrafodelista"/>
        <w:numPr>
          <w:ilvl w:val="1"/>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w:t>
      </w:r>
      <w:r w:rsidR="005066F0" w:rsidRPr="002E1A9C">
        <w:rPr>
          <w:rFonts w:ascii="BaskervilleT" w:eastAsia="Times New Roman" w:hAnsi="BaskervilleT" w:cs="Times New Roman"/>
          <w:sz w:val="24"/>
          <w:szCs w:val="24"/>
          <w:lang w:val="es-PY"/>
        </w:rPr>
        <w:t xml:space="preserve">l Comité de Vigilancia podrá sesionar extraordinariamente cada vez que sus miembros lo estimen necesario. </w:t>
      </w:r>
    </w:p>
    <w:p w14:paraId="1839B221" w14:textId="59AAAEE4" w:rsidR="005066F0" w:rsidRPr="002E1A9C" w:rsidRDefault="005066F0" w:rsidP="00FA0B4A">
      <w:pPr>
        <w:pStyle w:val="Prrafodelista"/>
        <w:numPr>
          <w:ilvl w:val="1"/>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 xml:space="preserve">Para que el Comité de Vigilancia pueda sesionar válidamente, tanto en forma ordinaria como extraordinaria, se requerirá que asista la mayoría de sus miembros y los acuerdos se adoptarán con la mayoría de los votos de los miembros presentes. </w:t>
      </w:r>
    </w:p>
    <w:p w14:paraId="6F4AFA9D" w14:textId="77777777" w:rsidR="00924806" w:rsidRPr="002E1A9C" w:rsidRDefault="00924806" w:rsidP="00FA0B4A">
      <w:pPr>
        <w:pStyle w:val="Prrafodelista"/>
        <w:numPr>
          <w:ilvl w:val="1"/>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En caso de disparidad de pareceres en las deliberaciones del Comité de Vigilancia, se deberán documentar todas las opiniones en las actas respectivas, permitiendo que cualquier miembro que discrepe pueda dejar constancia de su posición.</w:t>
      </w:r>
    </w:p>
    <w:p w14:paraId="78736471" w14:textId="50D91F31" w:rsidR="005066F0" w:rsidRPr="002E1A9C" w:rsidRDefault="005066F0" w:rsidP="00FA0B4A">
      <w:pPr>
        <w:pStyle w:val="Prrafodelista"/>
        <w:numPr>
          <w:ilvl w:val="1"/>
          <w:numId w:val="38"/>
        </w:numPr>
        <w:spacing w:line="240" w:lineRule="atLeast"/>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En la primera sesión que celebren los integrantes del Comité de Vigilancia tras la Asamblea Ordinaria de Partícipes en la que sean nombrados, deberán designar a uno de sus miembros como representante del Comité ante la Superintendencia de Valores, ante cualquier requerimiento de los partícipes del Fondo, de la Sociedad Administradora u otros.</w:t>
      </w:r>
    </w:p>
    <w:p w14:paraId="2CE0D8C1" w14:textId="7A025DDC" w:rsidR="005066F0" w:rsidRPr="002E1A9C" w:rsidRDefault="005066F0" w:rsidP="00924806">
      <w:pPr>
        <w:pStyle w:val="Prrafodelista"/>
        <w:numPr>
          <w:ilvl w:val="0"/>
          <w:numId w:val="38"/>
        </w:numPr>
        <w:spacing w:line="240" w:lineRule="atLeast"/>
        <w:contextualSpacing w:val="0"/>
        <w:jc w:val="both"/>
        <w:outlineLvl w:val="0"/>
        <w:rPr>
          <w:rFonts w:ascii="BaskervilleT" w:hAnsi="BaskervilleT"/>
          <w:b/>
          <w:sz w:val="24"/>
          <w:szCs w:val="24"/>
        </w:rPr>
      </w:pPr>
      <w:r w:rsidRPr="002E1A9C">
        <w:rPr>
          <w:rFonts w:ascii="BaskervilleT" w:hAnsi="BaskervilleT"/>
          <w:b/>
          <w:sz w:val="24"/>
          <w:szCs w:val="24"/>
          <w:u w:val="single"/>
        </w:rPr>
        <w:t>RÉGIMEN INFORMATIVO</w:t>
      </w:r>
      <w:r w:rsidRPr="002E1A9C">
        <w:rPr>
          <w:rFonts w:ascii="BaskervilleT" w:hAnsi="BaskervilleT"/>
          <w:b/>
          <w:sz w:val="24"/>
          <w:szCs w:val="24"/>
        </w:rPr>
        <w:t xml:space="preserve"> </w:t>
      </w:r>
    </w:p>
    <w:p w14:paraId="48E82E71" w14:textId="77777777" w:rsidR="005066F0" w:rsidRPr="002E1A9C" w:rsidRDefault="005066F0" w:rsidP="00FA0B4A">
      <w:pPr>
        <w:pStyle w:val="Prrafodelista"/>
        <w:numPr>
          <w:ilvl w:val="1"/>
          <w:numId w:val="38"/>
        </w:numPr>
        <w:spacing w:line="240" w:lineRule="atLeast"/>
        <w:ind w:left="850" w:hanging="493"/>
        <w:contextualSpacing w:val="0"/>
        <w:jc w:val="both"/>
        <w:rPr>
          <w:rFonts w:ascii="BaskervilleT" w:hAnsi="BaskervilleT"/>
          <w:sz w:val="24"/>
          <w:szCs w:val="24"/>
        </w:rPr>
      </w:pPr>
      <w:r w:rsidRPr="002E1A9C">
        <w:rPr>
          <w:rFonts w:ascii="BaskervilleT" w:hAnsi="BaskervilleT"/>
          <w:sz w:val="24"/>
          <w:szCs w:val="24"/>
        </w:rPr>
        <w:t>La Sociedad Administradora, los intermediarios de valores y los agentes, están obligados a mantener en sus oficinas permanentemente a disposición de los partícipes, información sobre las inversiones efectuadas a nombre del Fondo y demás informaciones referidas al mismo.</w:t>
      </w:r>
    </w:p>
    <w:p w14:paraId="0E4A8616" w14:textId="77777777" w:rsidR="005066F0" w:rsidRPr="002E1A9C" w:rsidRDefault="005066F0" w:rsidP="00FA0B4A">
      <w:pPr>
        <w:pStyle w:val="Prrafodelista"/>
        <w:numPr>
          <w:ilvl w:val="1"/>
          <w:numId w:val="38"/>
        </w:numPr>
        <w:spacing w:line="240" w:lineRule="atLeast"/>
        <w:ind w:left="850" w:hanging="493"/>
        <w:contextualSpacing w:val="0"/>
        <w:jc w:val="both"/>
        <w:rPr>
          <w:rFonts w:ascii="BaskervilleT" w:hAnsi="BaskervilleT"/>
          <w:sz w:val="24"/>
          <w:szCs w:val="24"/>
        </w:rPr>
      </w:pPr>
      <w:r w:rsidRPr="002E1A9C">
        <w:rPr>
          <w:rFonts w:ascii="BaskervilleT" w:hAnsi="BaskervilleT"/>
          <w:sz w:val="24"/>
          <w:szCs w:val="24"/>
        </w:rPr>
        <w:t>La Sociedad Administradora mantendrá en su sede principal, el ejemplar actualizado del presente reglamento interno, debidamente firmado por el gerente o su representante legal, con indicación de la fecha y número de la resolución que haya aprobado el reglamento y sus modificaciones por parte de la Superintendencia de Valores.</w:t>
      </w:r>
    </w:p>
    <w:p w14:paraId="5C06B615" w14:textId="77777777" w:rsidR="005066F0" w:rsidRPr="002E1A9C" w:rsidRDefault="005066F0" w:rsidP="00FA0B4A">
      <w:pPr>
        <w:pStyle w:val="Prrafodelista"/>
        <w:numPr>
          <w:ilvl w:val="1"/>
          <w:numId w:val="38"/>
        </w:numPr>
        <w:spacing w:line="240" w:lineRule="atLeast"/>
        <w:ind w:left="850" w:hanging="493"/>
        <w:contextualSpacing w:val="0"/>
        <w:jc w:val="both"/>
        <w:rPr>
          <w:rFonts w:ascii="BaskervilleT" w:hAnsi="BaskervilleT"/>
          <w:sz w:val="24"/>
          <w:szCs w:val="24"/>
        </w:rPr>
      </w:pPr>
      <w:r w:rsidRPr="002E1A9C">
        <w:rPr>
          <w:rFonts w:ascii="BaskervilleT" w:hAnsi="BaskervilleT"/>
          <w:sz w:val="24"/>
          <w:szCs w:val="24"/>
        </w:rPr>
        <w:t xml:space="preserve">La Sociedad Administradora mantendrá información disponible sobre la composición de los activos, los costos y cualquier otro gasto del Fondo, de acuerdo con la normativa aplicable. </w:t>
      </w:r>
    </w:p>
    <w:p w14:paraId="08843766" w14:textId="77777777" w:rsidR="005066F0" w:rsidRPr="002E1A9C" w:rsidRDefault="005066F0" w:rsidP="00FA0B4A">
      <w:pPr>
        <w:pStyle w:val="Prrafodelista"/>
        <w:numPr>
          <w:ilvl w:val="1"/>
          <w:numId w:val="38"/>
        </w:numPr>
        <w:spacing w:line="240" w:lineRule="atLeast"/>
        <w:ind w:left="850" w:hanging="493"/>
        <w:contextualSpacing w:val="0"/>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lastRenderedPageBreak/>
        <w:t>Toda publicación que, por disposición de la Ley que regula los Fondos Patrimoniales de Inversión y en el Reglamento General del Mercado de Valores, y del presente Reglamento Interno o de la Superintendencia de Valores deba realizarse, se hará en el sitio web de la Sociedad Administradora</w:t>
      </w:r>
      <w:r w:rsidRPr="002E1A9C">
        <w:rPr>
          <w:rFonts w:ascii="BaskervilleT" w:hAnsi="BaskervilleT"/>
          <w:color w:val="808080" w:themeColor="background1" w:themeShade="80"/>
          <w:sz w:val="24"/>
          <w:szCs w:val="24"/>
        </w:rPr>
        <w:t>.</w:t>
      </w:r>
    </w:p>
    <w:p w14:paraId="534DE985" w14:textId="77777777" w:rsidR="005066F0" w:rsidRPr="002E1A9C" w:rsidRDefault="005066F0" w:rsidP="00FA0B4A">
      <w:pPr>
        <w:pStyle w:val="Prrafodelista"/>
        <w:numPr>
          <w:ilvl w:val="1"/>
          <w:numId w:val="38"/>
        </w:numPr>
        <w:spacing w:line="240" w:lineRule="atLeast"/>
        <w:ind w:left="850" w:hanging="493"/>
        <w:contextualSpacing w:val="0"/>
        <w:jc w:val="both"/>
        <w:rPr>
          <w:rFonts w:ascii="BaskervilleT" w:hAnsi="BaskervilleT"/>
          <w:sz w:val="24"/>
          <w:szCs w:val="24"/>
        </w:rPr>
      </w:pPr>
      <w:r w:rsidRPr="002E1A9C">
        <w:rPr>
          <w:rFonts w:ascii="BaskervilleT" w:hAnsi="BaskervilleT"/>
          <w:sz w:val="24"/>
          <w:szCs w:val="24"/>
        </w:rPr>
        <w:t>En caso de que una cuota parte se encuentre en condominio, cualquier notificación que se cursare a uno de los condóminos será válida como comunicación cursada a todos.</w:t>
      </w:r>
    </w:p>
    <w:bookmarkEnd w:id="11"/>
    <w:p w14:paraId="43F8A84B" w14:textId="097DCC77" w:rsidR="00673DCB" w:rsidRPr="002E1A9C" w:rsidRDefault="000D5ECE" w:rsidP="00A80E00">
      <w:pPr>
        <w:pStyle w:val="Prrafodelista"/>
        <w:numPr>
          <w:ilvl w:val="0"/>
          <w:numId w:val="38"/>
        </w:numPr>
        <w:spacing w:line="240" w:lineRule="atLeast"/>
        <w:contextualSpacing w:val="0"/>
        <w:jc w:val="both"/>
        <w:outlineLvl w:val="0"/>
        <w:rPr>
          <w:rFonts w:ascii="BaskervilleT" w:eastAsia="Times New Roman" w:hAnsi="BaskervilleT" w:cs="Times New Roman"/>
          <w:bCs/>
          <w:sz w:val="24"/>
          <w:szCs w:val="24"/>
          <w:lang w:val="es-PY"/>
        </w:rPr>
      </w:pPr>
      <w:r w:rsidRPr="002E1A9C">
        <w:rPr>
          <w:rFonts w:ascii="BaskervilleT" w:eastAsia="Times New Roman" w:hAnsi="BaskervilleT" w:cs="Times New Roman"/>
          <w:b/>
          <w:sz w:val="24"/>
          <w:szCs w:val="24"/>
          <w:u w:val="single"/>
          <w:lang w:val="es-PY"/>
        </w:rPr>
        <w:t>RESPONSABILIDAD DE LA SOCIEDAD ADMINISTRADORA</w:t>
      </w:r>
    </w:p>
    <w:p w14:paraId="0A41F757" w14:textId="77777777" w:rsidR="003B6EE5" w:rsidRPr="002E1A9C" w:rsidRDefault="000F0D5F" w:rsidP="00FA0B4A">
      <w:pPr>
        <w:pStyle w:val="Prrafodelista"/>
        <w:numPr>
          <w:ilvl w:val="1"/>
          <w:numId w:val="38"/>
        </w:numPr>
        <w:spacing w:line="240" w:lineRule="atLeast"/>
        <w:ind w:left="992" w:hanging="567"/>
        <w:contextualSpacing w:val="0"/>
        <w:jc w:val="both"/>
        <w:rPr>
          <w:rFonts w:ascii="BaskervilleT" w:hAnsi="BaskervilleT"/>
          <w:bCs/>
          <w:sz w:val="24"/>
          <w:szCs w:val="24"/>
        </w:rPr>
      </w:pPr>
      <w:r w:rsidRPr="002E1A9C">
        <w:rPr>
          <w:rFonts w:ascii="BaskervilleT" w:hAnsi="BaskervilleT"/>
          <w:sz w:val="24"/>
          <w:szCs w:val="24"/>
        </w:rPr>
        <w:t>La</w:t>
      </w:r>
      <w:r w:rsidRPr="002E1A9C">
        <w:rPr>
          <w:rFonts w:ascii="BaskervilleT" w:hAnsi="BaskervilleT"/>
          <w:bCs/>
          <w:sz w:val="24"/>
          <w:szCs w:val="24"/>
        </w:rPr>
        <w:t xml:space="preserve"> Sociedad Administradora tiene obligaciones de medio en la gestión del portafolio del Fondo, no de resultado. </w:t>
      </w:r>
    </w:p>
    <w:p w14:paraId="6D222F09" w14:textId="77777777" w:rsidR="003B6EE5" w:rsidRPr="00243666" w:rsidRDefault="003B6EE5" w:rsidP="00FA0B4A">
      <w:pPr>
        <w:pStyle w:val="Prrafodelista"/>
        <w:numPr>
          <w:ilvl w:val="1"/>
          <w:numId w:val="38"/>
        </w:numPr>
        <w:spacing w:line="240" w:lineRule="atLeast"/>
        <w:ind w:left="992" w:hanging="567"/>
        <w:contextualSpacing w:val="0"/>
        <w:jc w:val="both"/>
        <w:rPr>
          <w:rFonts w:ascii="BaskervilleT" w:hAnsi="BaskervilleT"/>
          <w:sz w:val="24"/>
          <w:szCs w:val="24"/>
        </w:rPr>
      </w:pPr>
      <w:r w:rsidRPr="002E1A9C">
        <w:rPr>
          <w:rFonts w:ascii="BaskervilleT" w:hAnsi="BaskervilleT"/>
          <w:sz w:val="24"/>
          <w:szCs w:val="24"/>
        </w:rPr>
        <w:t>La</w:t>
      </w:r>
      <w:r w:rsidRPr="00243666">
        <w:rPr>
          <w:rFonts w:ascii="BaskervilleT" w:hAnsi="BaskervilleT"/>
          <w:sz w:val="24"/>
          <w:szCs w:val="24"/>
        </w:rPr>
        <w:t xml:space="preserve"> Sociedad Administradora debe actuar con diligencia y cuidado, como si gestionara sus propios negocios, para asegurar una combinación adecuada de rentabilidad y seguridad en las inversiones del Fondo. Es responsable por los daños y perjuicios que cause al Fondo si no cumple con sus obligaciones. </w:t>
      </w:r>
    </w:p>
    <w:p w14:paraId="05238D99" w14:textId="77777777" w:rsidR="000F0D5F" w:rsidRPr="00243666" w:rsidRDefault="000F0D5F" w:rsidP="00FA0B4A">
      <w:pPr>
        <w:pStyle w:val="Prrafodelista"/>
        <w:numPr>
          <w:ilvl w:val="1"/>
          <w:numId w:val="38"/>
        </w:numPr>
        <w:spacing w:line="240" w:lineRule="atLeast"/>
        <w:ind w:left="992" w:hanging="567"/>
        <w:contextualSpacing w:val="0"/>
        <w:jc w:val="both"/>
        <w:rPr>
          <w:rFonts w:ascii="BaskervilleT" w:hAnsi="BaskervilleT"/>
          <w:sz w:val="24"/>
          <w:szCs w:val="24"/>
        </w:rPr>
      </w:pPr>
      <w:r w:rsidRPr="00243666">
        <w:rPr>
          <w:rFonts w:ascii="BaskervilleT" w:hAnsi="BaskervilleT"/>
          <w:sz w:val="24"/>
          <w:szCs w:val="24"/>
        </w:rPr>
        <w:t>La Sociedad Administradora también puede emprender acciones legales contra terceros que hayan causado perjuicios al Fondo, para reclamar la indemnización correspondiente.</w:t>
      </w:r>
    </w:p>
    <w:p w14:paraId="26DF6377" w14:textId="59629E19" w:rsidR="003B6EE5" w:rsidRPr="00243666" w:rsidRDefault="003B6EE5" w:rsidP="00FA0B4A">
      <w:pPr>
        <w:pStyle w:val="Prrafodelista"/>
        <w:numPr>
          <w:ilvl w:val="1"/>
          <w:numId w:val="38"/>
        </w:numPr>
        <w:spacing w:line="240" w:lineRule="atLeast"/>
        <w:ind w:left="992" w:hanging="567"/>
        <w:contextualSpacing w:val="0"/>
        <w:jc w:val="both"/>
        <w:rPr>
          <w:rFonts w:ascii="BaskervilleT" w:hAnsi="BaskervilleT"/>
          <w:sz w:val="24"/>
          <w:szCs w:val="24"/>
        </w:rPr>
      </w:pPr>
      <w:r w:rsidRPr="00243666">
        <w:rPr>
          <w:rFonts w:ascii="BaskervilleT" w:hAnsi="BaskervilleT"/>
          <w:sz w:val="24"/>
          <w:szCs w:val="24"/>
        </w:rPr>
        <w:t>Los aportes de dinero de los cuotapartistas al Fondo no son depósitos, por lo que no generan para la Sociedad Administradora las obligaciones de una institución de depósito. Por lo tanto, estos aportes no están cubiertos por el seguro de depósito del Fondo de Garantías ni por ningún otro esquema similar.</w:t>
      </w:r>
    </w:p>
    <w:p w14:paraId="06B6F731" w14:textId="77777777" w:rsidR="005066F0" w:rsidRPr="002E1A9C" w:rsidRDefault="005066F0" w:rsidP="00A80E00">
      <w:pPr>
        <w:pStyle w:val="Prrafodelista"/>
        <w:numPr>
          <w:ilvl w:val="0"/>
          <w:numId w:val="38"/>
        </w:numPr>
        <w:spacing w:line="240" w:lineRule="atLeast"/>
        <w:contextualSpacing w:val="0"/>
        <w:jc w:val="both"/>
        <w:outlineLvl w:val="0"/>
        <w:rPr>
          <w:rFonts w:ascii="BaskervilleT" w:eastAsia="Times New Roman" w:hAnsi="BaskervilleT" w:cs="Times New Roman"/>
          <w:b/>
          <w:sz w:val="24"/>
          <w:szCs w:val="24"/>
          <w:u w:val="single"/>
          <w:lang w:val="es-PY"/>
        </w:rPr>
      </w:pPr>
      <w:r w:rsidRPr="002E1A9C">
        <w:rPr>
          <w:rFonts w:ascii="BaskervilleT" w:eastAsia="Times New Roman" w:hAnsi="BaskervilleT" w:cs="Times New Roman"/>
          <w:b/>
          <w:sz w:val="24"/>
          <w:szCs w:val="24"/>
          <w:u w:val="single"/>
          <w:lang w:val="es-PY"/>
        </w:rPr>
        <w:t>ÓRGANOS DE ADMINISTRACIÓN Y CONTROL</w:t>
      </w:r>
    </w:p>
    <w:p w14:paraId="611FFCB2" w14:textId="32C4C424" w:rsidR="00EA0737" w:rsidRPr="002E1A9C" w:rsidRDefault="00EA0737" w:rsidP="00FA0B4A">
      <w:pPr>
        <w:pStyle w:val="Prrafodelista"/>
        <w:numPr>
          <w:ilvl w:val="1"/>
          <w:numId w:val="38"/>
        </w:numPr>
        <w:spacing w:line="240" w:lineRule="atLeast"/>
        <w:ind w:left="993" w:hanging="567"/>
        <w:jc w:val="both"/>
        <w:rPr>
          <w:rFonts w:ascii="BaskervilleT" w:hAnsi="BaskervilleT"/>
          <w:sz w:val="24"/>
          <w:szCs w:val="24"/>
        </w:rPr>
      </w:pPr>
      <w:r w:rsidRPr="002E1A9C">
        <w:rPr>
          <w:rFonts w:ascii="BaskervilleT" w:hAnsi="BaskervilleT"/>
          <w:sz w:val="24"/>
          <w:szCs w:val="24"/>
        </w:rPr>
        <w:t xml:space="preserve">La Sociedad Administradora establece una estructura de administración y control de las operaciones del fondo conforme al siguiente detalle: </w:t>
      </w:r>
    </w:p>
    <w:p w14:paraId="547F00B6" w14:textId="77777777" w:rsidR="00EA0737" w:rsidRPr="002E1A9C" w:rsidRDefault="00EA0737" w:rsidP="00FA0B4A">
      <w:pPr>
        <w:rPr>
          <w:lang w:val="es-PY"/>
        </w:rPr>
      </w:pPr>
    </w:p>
    <w:tbl>
      <w:tblPr>
        <w:tblStyle w:val="Tablaconcuadrcula"/>
        <w:tblW w:w="0" w:type="auto"/>
        <w:tblLook w:val="04A0" w:firstRow="1" w:lastRow="0" w:firstColumn="1" w:lastColumn="0" w:noHBand="0" w:noVBand="1"/>
      </w:tblPr>
      <w:tblGrid>
        <w:gridCol w:w="6828"/>
        <w:gridCol w:w="2191"/>
      </w:tblGrid>
      <w:tr w:rsidR="00324F4B" w:rsidRPr="002E1A9C" w14:paraId="237E2455" w14:textId="77777777" w:rsidTr="00EA0737">
        <w:trPr>
          <w:trHeight w:val="471"/>
        </w:trPr>
        <w:tc>
          <w:tcPr>
            <w:tcW w:w="0" w:type="auto"/>
            <w:shd w:val="clear" w:color="auto" w:fill="244061" w:themeFill="accent1" w:themeFillShade="80"/>
            <w:vAlign w:val="center"/>
          </w:tcPr>
          <w:p w14:paraId="03D6035C" w14:textId="14F3E7B6" w:rsidR="0000198C" w:rsidRPr="002E1A9C" w:rsidRDefault="0000198C" w:rsidP="00FA0B4A">
            <w:pPr>
              <w:spacing w:line="240" w:lineRule="atLeast"/>
              <w:jc w:val="center"/>
              <w:rPr>
                <w:rFonts w:ascii="BaskervilleT" w:hAnsi="BaskervilleT"/>
                <w:color w:val="FFFFFF" w:themeColor="background1"/>
                <w:sz w:val="24"/>
                <w:szCs w:val="24"/>
              </w:rPr>
            </w:pPr>
            <w:r w:rsidRPr="002E1A9C">
              <w:rPr>
                <w:rFonts w:ascii="BaskervilleT" w:hAnsi="BaskervilleT"/>
                <w:color w:val="FFFFFF" w:themeColor="background1"/>
                <w:sz w:val="24"/>
                <w:szCs w:val="24"/>
              </w:rPr>
              <w:t>Descripción de funciones</w:t>
            </w:r>
          </w:p>
        </w:tc>
        <w:tc>
          <w:tcPr>
            <w:tcW w:w="0" w:type="auto"/>
            <w:shd w:val="clear" w:color="auto" w:fill="244061" w:themeFill="accent1" w:themeFillShade="80"/>
            <w:vAlign w:val="center"/>
          </w:tcPr>
          <w:p w14:paraId="444B9ACB" w14:textId="5A9A3A0F" w:rsidR="0000198C" w:rsidRPr="002E1A9C" w:rsidRDefault="0000198C" w:rsidP="00FA0B4A">
            <w:pPr>
              <w:pStyle w:val="Prrafodelista"/>
              <w:spacing w:line="320" w:lineRule="exact"/>
              <w:ind w:left="0"/>
              <w:contextualSpacing w:val="0"/>
              <w:jc w:val="center"/>
              <w:rPr>
                <w:rFonts w:ascii="BaskervilleT" w:hAnsi="BaskervilleT"/>
                <w:color w:val="FFFFFF" w:themeColor="background1"/>
                <w:sz w:val="24"/>
                <w:szCs w:val="24"/>
                <w:highlight w:val="lightGray"/>
              </w:rPr>
            </w:pPr>
            <w:r w:rsidRPr="002E1A9C">
              <w:rPr>
                <w:rFonts w:ascii="BaskervilleT" w:hAnsi="BaskervilleT"/>
                <w:color w:val="FFFFFF" w:themeColor="background1"/>
                <w:sz w:val="24"/>
                <w:szCs w:val="24"/>
              </w:rPr>
              <w:t>Responsable</w:t>
            </w:r>
          </w:p>
        </w:tc>
      </w:tr>
      <w:tr w:rsidR="00324F4B" w:rsidRPr="002E1A9C" w14:paraId="34E28EA8" w14:textId="77777777" w:rsidTr="00324F4B">
        <w:trPr>
          <w:trHeight w:val="738"/>
        </w:trPr>
        <w:tc>
          <w:tcPr>
            <w:tcW w:w="0" w:type="auto"/>
          </w:tcPr>
          <w:p w14:paraId="0886234B" w14:textId="7D186047" w:rsidR="005066F0" w:rsidRPr="002E1A9C" w:rsidRDefault="003B6EE5" w:rsidP="00FA0B4A">
            <w:pPr>
              <w:spacing w:line="240" w:lineRule="atLeast"/>
              <w:jc w:val="both"/>
              <w:rPr>
                <w:rFonts w:ascii="BaskervilleT" w:hAnsi="BaskervilleT"/>
                <w:sz w:val="24"/>
                <w:szCs w:val="24"/>
              </w:rPr>
            </w:pPr>
            <w:r w:rsidRPr="002E1A9C">
              <w:rPr>
                <w:rFonts w:ascii="BaskervilleT" w:hAnsi="BaskervilleT"/>
                <w:sz w:val="24"/>
                <w:szCs w:val="24"/>
              </w:rPr>
              <w:t>R</w:t>
            </w:r>
            <w:r w:rsidR="005066F0" w:rsidRPr="002E1A9C">
              <w:rPr>
                <w:rFonts w:ascii="BaskervilleT" w:hAnsi="BaskervilleT"/>
                <w:sz w:val="24"/>
                <w:szCs w:val="24"/>
              </w:rPr>
              <w:t xml:space="preserve">esponsable de la </w:t>
            </w:r>
            <w:r w:rsidR="00DC6542" w:rsidRPr="002E1A9C">
              <w:rPr>
                <w:rFonts w:ascii="BaskervilleT" w:hAnsi="BaskervilleT"/>
                <w:sz w:val="24"/>
                <w:szCs w:val="24"/>
              </w:rPr>
              <w:t>ejecución</w:t>
            </w:r>
            <w:r w:rsidR="005066F0" w:rsidRPr="002E1A9C">
              <w:rPr>
                <w:rFonts w:ascii="BaskervilleT" w:hAnsi="BaskervilleT"/>
                <w:sz w:val="24"/>
                <w:szCs w:val="24"/>
              </w:rPr>
              <w:t xml:space="preserve"> de las decisiones de inversión realizadas en nombre del Fondo. </w:t>
            </w:r>
          </w:p>
        </w:tc>
        <w:tc>
          <w:tcPr>
            <w:tcW w:w="0" w:type="auto"/>
            <w:shd w:val="clear" w:color="auto" w:fill="F2F2F2" w:themeFill="background1" w:themeFillShade="F2"/>
          </w:tcPr>
          <w:p w14:paraId="55C2FFF7" w14:textId="0A572D7D" w:rsidR="005066F0" w:rsidRPr="002E1A9C" w:rsidRDefault="00C71260" w:rsidP="00FA0B4A">
            <w:pPr>
              <w:pStyle w:val="Prrafodelista"/>
              <w:spacing w:line="320" w:lineRule="exact"/>
              <w:ind w:left="0"/>
              <w:contextualSpacing w:val="0"/>
              <w:jc w:val="both"/>
              <w:rPr>
                <w:rFonts w:ascii="BaskervilleT" w:hAnsi="BaskervilleT"/>
                <w:sz w:val="24"/>
                <w:szCs w:val="24"/>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 xml:space="preserve">Ingresar responsable, nombre y número de documento. </w:t>
            </w:r>
            <w:r>
              <w:rPr>
                <w:rFonts w:ascii="BaskervilleT" w:hAnsi="BaskervilleT"/>
                <w:color w:val="808080" w:themeColor="background1" w:themeShade="80"/>
                <w:sz w:val="24"/>
                <w:szCs w:val="24"/>
                <w:highlight w:val="lightGray"/>
              </w:rPr>
              <w:fldChar w:fldCharType="end"/>
            </w:r>
          </w:p>
        </w:tc>
      </w:tr>
      <w:tr w:rsidR="00645A28" w:rsidRPr="002E1A9C" w14:paraId="48AB3121" w14:textId="77777777" w:rsidTr="00645A28">
        <w:trPr>
          <w:trHeight w:val="1414"/>
        </w:trPr>
        <w:tc>
          <w:tcPr>
            <w:tcW w:w="0" w:type="auto"/>
          </w:tcPr>
          <w:p w14:paraId="7C9563DD" w14:textId="4477354E" w:rsidR="00324F4B" w:rsidRPr="002E1A9C" w:rsidRDefault="00324F4B" w:rsidP="00FA0B4A">
            <w:pPr>
              <w:spacing w:line="240" w:lineRule="atLeast"/>
              <w:jc w:val="both"/>
              <w:rPr>
                <w:rFonts w:ascii="BaskervilleT" w:eastAsia="Times New Roman" w:hAnsi="BaskervilleT"/>
                <w:kern w:val="0"/>
                <w:sz w:val="24"/>
                <w:szCs w:val="24"/>
                <w:lang w:eastAsia="es-PY"/>
                <w14:ligatures w14:val="none"/>
              </w:rPr>
            </w:pPr>
            <w:bookmarkStart w:id="14" w:name="_Hlk180516819"/>
            <w:r w:rsidRPr="002E1A9C">
              <w:rPr>
                <w:rFonts w:ascii="BaskervilleT" w:eastAsia="Times New Roman" w:hAnsi="BaskervilleT" w:cs="Times New Roman"/>
                <w:sz w:val="24"/>
                <w:szCs w:val="24"/>
              </w:rPr>
              <w:t>Responsable de tomas las decisiones de inversión del Fondo, evaluando las oportunidades de inversión y considerando los factores de riesgo, el retorno esperado, y la alineación con la estrategia del Fondo.</w:t>
            </w:r>
            <w:r w:rsidR="00645A28" w:rsidRPr="002E1A9C">
              <w:rPr>
                <w:rFonts w:ascii="BaskervilleT" w:eastAsia="Times New Roman" w:hAnsi="BaskervilleT" w:cs="Times New Roman"/>
                <w:sz w:val="24"/>
                <w:szCs w:val="24"/>
              </w:rPr>
              <w:t xml:space="preserve"> </w:t>
            </w:r>
            <w:r w:rsidRPr="002E1A9C">
              <w:rPr>
                <w:rFonts w:ascii="BaskervilleT" w:eastAsia="Times New Roman" w:hAnsi="BaskervilleT" w:cs="Times New Roman"/>
                <w:sz w:val="24"/>
                <w:szCs w:val="24"/>
              </w:rPr>
              <w:t>Es el encargado de identificar y seleccionar las inversiones más adecuadas para el Fondo de acuerdo con las políticas de inversión</w:t>
            </w:r>
            <w:r w:rsidR="00495DA6">
              <w:rPr>
                <w:rFonts w:ascii="BaskervilleT" w:eastAsia="Times New Roman" w:hAnsi="BaskervilleT" w:cs="Times New Roman"/>
                <w:sz w:val="24"/>
                <w:szCs w:val="24"/>
              </w:rPr>
              <w:t>.</w:t>
            </w:r>
          </w:p>
        </w:tc>
        <w:tc>
          <w:tcPr>
            <w:tcW w:w="0" w:type="auto"/>
            <w:shd w:val="clear" w:color="auto" w:fill="F2F2F2" w:themeFill="background1" w:themeFillShade="F2"/>
          </w:tcPr>
          <w:p w14:paraId="0A25012F" w14:textId="71900143" w:rsidR="00324F4B" w:rsidRPr="002E1A9C" w:rsidRDefault="00C71260" w:rsidP="00FA0B4A">
            <w:pPr>
              <w:pStyle w:val="Prrafodelista"/>
              <w:spacing w:line="320" w:lineRule="exact"/>
              <w:ind w:left="0"/>
              <w:contextualSpacing w:val="0"/>
              <w:jc w:val="both"/>
              <w:rPr>
                <w:rFonts w:ascii="BaskervilleT" w:hAnsi="BaskervilleT"/>
                <w:color w:val="808080" w:themeColor="background1" w:themeShade="80"/>
                <w:sz w:val="24"/>
                <w:szCs w:val="24"/>
                <w:highlight w:val="lightGray"/>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Ingresar responsable, nombre y número de documento.</w:t>
            </w:r>
            <w:r>
              <w:rPr>
                <w:rFonts w:ascii="BaskervilleT" w:hAnsi="BaskervilleT"/>
                <w:color w:val="808080" w:themeColor="background1" w:themeShade="80"/>
                <w:sz w:val="24"/>
                <w:szCs w:val="24"/>
                <w:highlight w:val="lightGray"/>
              </w:rPr>
              <w:fldChar w:fldCharType="end"/>
            </w:r>
          </w:p>
        </w:tc>
      </w:tr>
      <w:tr w:rsidR="00324F4B" w:rsidRPr="002E1A9C" w14:paraId="1F94C252" w14:textId="77777777" w:rsidTr="00645A28">
        <w:trPr>
          <w:trHeight w:val="764"/>
        </w:trPr>
        <w:tc>
          <w:tcPr>
            <w:tcW w:w="0" w:type="auto"/>
          </w:tcPr>
          <w:p w14:paraId="28889B2B" w14:textId="2C44D5AB" w:rsidR="00324F4B" w:rsidRPr="002E1A9C" w:rsidRDefault="00324F4B" w:rsidP="00FA0B4A">
            <w:pPr>
              <w:spacing w:line="240" w:lineRule="atLeast"/>
              <w:jc w:val="both"/>
              <w:rPr>
                <w:rFonts w:ascii="BaskervilleT" w:hAnsi="BaskervilleT"/>
                <w:sz w:val="24"/>
                <w:szCs w:val="24"/>
              </w:rPr>
            </w:pPr>
            <w:r w:rsidRPr="002E1A9C">
              <w:rPr>
                <w:rFonts w:ascii="BaskervilleT" w:eastAsia="Times New Roman" w:hAnsi="BaskervilleT" w:cs="Times New Roman"/>
                <w:sz w:val="24"/>
                <w:szCs w:val="24"/>
              </w:rPr>
              <w:t>Responsable del control interno de que las decisiones de inversión del Fondo y su ejecución se ajusten al presente reglamento y a la ley</w:t>
            </w:r>
            <w:r w:rsidR="00495DA6">
              <w:rPr>
                <w:rFonts w:ascii="BaskervilleT" w:eastAsia="Times New Roman" w:hAnsi="BaskervilleT" w:cs="Times New Roman"/>
                <w:sz w:val="24"/>
                <w:szCs w:val="24"/>
              </w:rPr>
              <w:t>.</w:t>
            </w:r>
            <w:r w:rsidRPr="002E1A9C">
              <w:rPr>
                <w:rFonts w:ascii="BaskervilleT" w:eastAsia="Times New Roman" w:hAnsi="BaskervilleT" w:cs="Times New Roman"/>
                <w:sz w:val="24"/>
                <w:szCs w:val="24"/>
              </w:rPr>
              <w:t xml:space="preserve"> </w:t>
            </w:r>
          </w:p>
        </w:tc>
        <w:tc>
          <w:tcPr>
            <w:tcW w:w="0" w:type="auto"/>
            <w:shd w:val="clear" w:color="auto" w:fill="F2F2F2" w:themeFill="background1" w:themeFillShade="F2"/>
          </w:tcPr>
          <w:p w14:paraId="1BB59152" w14:textId="6B46CB0D" w:rsidR="00324F4B" w:rsidRPr="002E1A9C" w:rsidRDefault="00C71260" w:rsidP="00FA0B4A">
            <w:pPr>
              <w:pStyle w:val="Prrafodelista"/>
              <w:spacing w:line="320" w:lineRule="exact"/>
              <w:ind w:left="0"/>
              <w:contextualSpacing w:val="0"/>
              <w:jc w:val="both"/>
              <w:rPr>
                <w:rFonts w:ascii="BaskervilleT" w:hAnsi="BaskervilleT"/>
                <w:color w:val="808080" w:themeColor="background1" w:themeShade="80"/>
                <w:sz w:val="24"/>
                <w:szCs w:val="24"/>
                <w:highlight w:val="lightGray"/>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Ingresar responsable, nombre y número de documento.</w:t>
            </w:r>
            <w:r>
              <w:rPr>
                <w:rFonts w:ascii="BaskervilleT" w:hAnsi="BaskervilleT"/>
                <w:color w:val="808080" w:themeColor="background1" w:themeShade="80"/>
                <w:sz w:val="24"/>
                <w:szCs w:val="24"/>
                <w:highlight w:val="lightGray"/>
              </w:rPr>
              <w:fldChar w:fldCharType="end"/>
            </w:r>
          </w:p>
        </w:tc>
      </w:tr>
      <w:bookmarkEnd w:id="14"/>
    </w:tbl>
    <w:p w14:paraId="3EA4EEBC" w14:textId="77777777" w:rsidR="00FA0B4A" w:rsidRDefault="00FA0B4A" w:rsidP="00FA0B4A">
      <w:pPr>
        <w:spacing w:line="240" w:lineRule="atLeast"/>
        <w:jc w:val="both"/>
        <w:rPr>
          <w:rFonts w:ascii="BaskervilleT" w:hAnsi="BaskervilleT"/>
          <w:bCs/>
          <w:sz w:val="24"/>
          <w:szCs w:val="24"/>
        </w:rPr>
      </w:pPr>
    </w:p>
    <w:p w14:paraId="4A865ACF" w14:textId="4DFEAFA3" w:rsidR="00C70B12" w:rsidRPr="001A09EB" w:rsidRDefault="001A09EB" w:rsidP="00FA0B4A">
      <w:pPr>
        <w:spacing w:line="240" w:lineRule="atLeast"/>
        <w:jc w:val="both"/>
        <w:rPr>
          <w:rFonts w:ascii="BaskervilleT" w:hAnsi="BaskervilleT"/>
          <w:bCs/>
          <w:sz w:val="24"/>
          <w:szCs w:val="24"/>
        </w:rPr>
      </w:pPr>
      <w:r w:rsidRPr="001A09EB">
        <w:rPr>
          <w:rFonts w:ascii="BaskervilleT" w:hAnsi="BaskervilleT"/>
          <w:bCs/>
          <w:sz w:val="24"/>
          <w:szCs w:val="24"/>
        </w:rPr>
        <w:t>La S</w:t>
      </w:r>
      <w:r w:rsidR="00030D74">
        <w:rPr>
          <w:rFonts w:ascii="BaskervilleT" w:hAnsi="BaskervilleT"/>
          <w:bCs/>
          <w:sz w:val="24"/>
          <w:szCs w:val="24"/>
        </w:rPr>
        <w:t xml:space="preserve">ociedad </w:t>
      </w:r>
      <w:r w:rsidRPr="001A09EB">
        <w:rPr>
          <w:rFonts w:ascii="BaskervilleT" w:hAnsi="BaskervilleT"/>
          <w:bCs/>
          <w:sz w:val="24"/>
          <w:szCs w:val="24"/>
        </w:rPr>
        <w:t>A</w:t>
      </w:r>
      <w:r w:rsidR="00030D74">
        <w:rPr>
          <w:rFonts w:ascii="BaskervilleT" w:hAnsi="BaskervilleT"/>
          <w:bCs/>
          <w:sz w:val="24"/>
          <w:szCs w:val="24"/>
        </w:rPr>
        <w:t>dministradora</w:t>
      </w:r>
      <w:r w:rsidRPr="001A09EB">
        <w:rPr>
          <w:rFonts w:ascii="BaskervilleT" w:hAnsi="BaskervilleT"/>
          <w:bCs/>
          <w:sz w:val="24"/>
          <w:szCs w:val="24"/>
        </w:rPr>
        <w:t xml:space="preserve"> será siempre responsable de la adecuada </w:t>
      </w:r>
      <w:r w:rsidR="00030D74" w:rsidRPr="001A09EB">
        <w:rPr>
          <w:rFonts w:ascii="BaskervilleT" w:hAnsi="BaskervilleT"/>
          <w:bCs/>
          <w:sz w:val="24"/>
          <w:szCs w:val="24"/>
        </w:rPr>
        <w:t>gestión</w:t>
      </w:r>
      <w:r w:rsidRPr="001A09EB">
        <w:rPr>
          <w:rFonts w:ascii="BaskervilleT" w:hAnsi="BaskervilleT"/>
          <w:bCs/>
          <w:sz w:val="24"/>
          <w:szCs w:val="24"/>
        </w:rPr>
        <w:t xml:space="preserve"> del Fondo ante los </w:t>
      </w:r>
      <w:r w:rsidR="00030D74" w:rsidRPr="001A09EB">
        <w:rPr>
          <w:rFonts w:ascii="BaskervilleT" w:hAnsi="BaskervilleT"/>
          <w:bCs/>
          <w:sz w:val="24"/>
          <w:szCs w:val="24"/>
        </w:rPr>
        <w:t>partícipes</w:t>
      </w:r>
      <w:r w:rsidR="00C56EAA">
        <w:rPr>
          <w:rFonts w:ascii="BaskervilleT" w:hAnsi="BaskervilleT"/>
          <w:bCs/>
          <w:sz w:val="24"/>
          <w:szCs w:val="24"/>
        </w:rPr>
        <w:t xml:space="preserve"> y el cabal cumplimiento del presente Reglamento Interno. </w:t>
      </w:r>
    </w:p>
    <w:p w14:paraId="714CCC0A" w14:textId="2D731011" w:rsidR="005066F0" w:rsidRPr="002E1A9C" w:rsidRDefault="005066F0" w:rsidP="005066F0">
      <w:pPr>
        <w:pStyle w:val="Prrafodelista"/>
        <w:numPr>
          <w:ilvl w:val="0"/>
          <w:numId w:val="38"/>
        </w:numPr>
        <w:spacing w:line="240" w:lineRule="atLeast"/>
        <w:contextualSpacing w:val="0"/>
        <w:jc w:val="both"/>
        <w:outlineLvl w:val="0"/>
        <w:rPr>
          <w:rFonts w:ascii="BaskervilleT" w:hAnsi="BaskervilleT"/>
          <w:b/>
          <w:sz w:val="24"/>
          <w:szCs w:val="24"/>
          <w:u w:val="single"/>
        </w:rPr>
      </w:pPr>
      <w:r w:rsidRPr="002E1A9C">
        <w:rPr>
          <w:rFonts w:ascii="BaskervilleT" w:hAnsi="BaskervilleT"/>
          <w:b/>
          <w:sz w:val="24"/>
          <w:szCs w:val="24"/>
          <w:u w:val="single"/>
        </w:rPr>
        <w:t>REMUNERACIONES, COMISIONES Y GASTOS</w:t>
      </w:r>
    </w:p>
    <w:p w14:paraId="2A3C9757" w14:textId="77777777" w:rsidR="005066F0" w:rsidRPr="002E1A9C" w:rsidRDefault="005066F0" w:rsidP="00FA0B4A">
      <w:pPr>
        <w:pStyle w:val="Prrafodelista"/>
        <w:numPr>
          <w:ilvl w:val="1"/>
          <w:numId w:val="38"/>
        </w:numPr>
        <w:spacing w:line="240" w:lineRule="atLeast"/>
        <w:jc w:val="both"/>
        <w:rPr>
          <w:rFonts w:ascii="BaskervilleT" w:hAnsi="BaskervilleT"/>
          <w:b/>
          <w:sz w:val="24"/>
          <w:szCs w:val="24"/>
        </w:rPr>
      </w:pPr>
      <w:r w:rsidRPr="002E1A9C">
        <w:rPr>
          <w:rFonts w:ascii="BaskervilleT" w:hAnsi="BaskervilleT"/>
          <w:b/>
          <w:sz w:val="24"/>
          <w:szCs w:val="24"/>
        </w:rPr>
        <w:t>Gastos a cargo del Fondo</w:t>
      </w:r>
    </w:p>
    <w:p w14:paraId="7186BA3F" w14:textId="77777777" w:rsidR="005066F0" w:rsidRPr="002E1A9C" w:rsidRDefault="005066F0" w:rsidP="00FA0B4A">
      <w:pPr>
        <w:pStyle w:val="Prrafodelista"/>
        <w:numPr>
          <w:ilvl w:val="2"/>
          <w:numId w:val="38"/>
        </w:numPr>
        <w:spacing w:line="240" w:lineRule="atLeast"/>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Sin perjuicio de las remuneraciones a que se refiere el presente Reglamento Interno, serán también a cargo del Fondo los gastos directos e indirectos relacionados a las operaciones del Fondo, gastos derivados de la remuneración del Comité de Vigilancia, gastos derivados de la liquidación del Fondo, incluida la remuneración u honorarios del liquidador.</w:t>
      </w:r>
    </w:p>
    <w:p w14:paraId="58A3F454" w14:textId="77777777" w:rsidR="005066F0" w:rsidRPr="002E1A9C" w:rsidRDefault="005066F0" w:rsidP="00FA0B4A">
      <w:pPr>
        <w:pStyle w:val="Prrafodelista"/>
        <w:numPr>
          <w:ilvl w:val="2"/>
          <w:numId w:val="38"/>
        </w:numPr>
        <w:spacing w:line="240" w:lineRule="atLeast"/>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Además de los gastos señalados precedentemente, serán de cargo del Fondo los siguientes gastos:</w:t>
      </w:r>
    </w:p>
    <w:p w14:paraId="24E114A8" w14:textId="77777777" w:rsidR="005066F0" w:rsidRPr="002E1A9C" w:rsidRDefault="005066F0" w:rsidP="00FA0B4A">
      <w:pPr>
        <w:pStyle w:val="Prrafodelista"/>
        <w:numPr>
          <w:ilvl w:val="3"/>
          <w:numId w:val="38"/>
        </w:numPr>
        <w:spacing w:line="240" w:lineRule="atLeast"/>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Gastos financieros derivados de créditos contratados por cuenta del Fondo, así como los intereses de toda otra obligación del Fondo.</w:t>
      </w:r>
    </w:p>
    <w:p w14:paraId="69E23836" w14:textId="77777777" w:rsidR="005066F0" w:rsidRPr="002E1A9C" w:rsidRDefault="005066F0" w:rsidP="00FA0B4A">
      <w:pPr>
        <w:pStyle w:val="Prrafodelista"/>
        <w:numPr>
          <w:ilvl w:val="3"/>
          <w:numId w:val="38"/>
        </w:numPr>
        <w:spacing w:line="240" w:lineRule="atLeast"/>
        <w:jc w:val="both"/>
        <w:rPr>
          <w:rFonts w:ascii="BaskervilleT" w:eastAsia="Times New Roman" w:hAnsi="BaskervilleT" w:cs="Times New Roman"/>
          <w:sz w:val="24"/>
          <w:szCs w:val="24"/>
          <w:lang w:val="es-PY"/>
        </w:rPr>
      </w:pPr>
      <w:r w:rsidRPr="002E1A9C">
        <w:rPr>
          <w:rFonts w:ascii="BaskervilleT" w:eastAsia="Times New Roman" w:hAnsi="BaskervilleT" w:cs="Times New Roman"/>
          <w:sz w:val="24"/>
          <w:szCs w:val="24"/>
          <w:lang w:val="es-PY"/>
        </w:rPr>
        <w:t>Otros gastos razonables por servicios especiales, en los que se incurre en la operación normal del Fondo y para la defensa de sus intereses.</w:t>
      </w:r>
    </w:p>
    <w:p w14:paraId="26935EE3" w14:textId="31066293" w:rsidR="005066F0" w:rsidRPr="002E1A9C" w:rsidRDefault="009305E7" w:rsidP="00FA0B4A">
      <w:pPr>
        <w:pStyle w:val="Prrafodelista"/>
        <w:numPr>
          <w:ilvl w:val="2"/>
          <w:numId w:val="38"/>
        </w:numPr>
        <w:spacing w:line="240" w:lineRule="atLeast"/>
        <w:jc w:val="both"/>
        <w:rPr>
          <w:rFonts w:ascii="BaskervilleT" w:hAnsi="BaskervilleT"/>
          <w:sz w:val="24"/>
          <w:szCs w:val="24"/>
        </w:rPr>
      </w:pPr>
      <w:r>
        <w:rPr>
          <w:rFonts w:ascii="BaskervilleT" w:eastAsia="Times New Roman" w:hAnsi="BaskervilleT" w:cs="Times New Roman"/>
          <w:sz w:val="24"/>
          <w:szCs w:val="24"/>
          <w:lang w:val="es-PY"/>
        </w:rPr>
        <w:t>La</w:t>
      </w:r>
      <w:r w:rsidR="005066F0" w:rsidRPr="002E1A9C">
        <w:rPr>
          <w:rFonts w:ascii="BaskervilleT" w:eastAsia="Times New Roman" w:hAnsi="BaskervilleT" w:cs="Times New Roman"/>
          <w:sz w:val="24"/>
          <w:szCs w:val="24"/>
          <w:lang w:val="es-PY"/>
        </w:rPr>
        <w:t xml:space="preserve"> Asamblea Ordinaria de Partícipes deberá aprobar</w:t>
      </w:r>
      <w:r>
        <w:rPr>
          <w:rFonts w:ascii="BaskervilleT" w:eastAsia="Times New Roman" w:hAnsi="BaskervilleT" w:cs="Times New Roman"/>
          <w:sz w:val="24"/>
          <w:szCs w:val="24"/>
          <w:lang w:val="es-PY"/>
        </w:rPr>
        <w:t xml:space="preserve"> </w:t>
      </w:r>
      <w:r w:rsidR="001D272E">
        <w:rPr>
          <w:rFonts w:ascii="BaskervilleT" w:eastAsia="Times New Roman" w:hAnsi="BaskervilleT" w:cs="Times New Roman"/>
          <w:sz w:val="24"/>
          <w:szCs w:val="24"/>
          <w:lang w:val="es-PY"/>
        </w:rPr>
        <w:t xml:space="preserve">anualmente </w:t>
      </w:r>
      <w:r w:rsidR="005066F0" w:rsidRPr="002E1A9C">
        <w:rPr>
          <w:rFonts w:ascii="BaskervilleT" w:eastAsia="Times New Roman" w:hAnsi="BaskervilleT" w:cs="Times New Roman"/>
          <w:sz w:val="24"/>
          <w:szCs w:val="24"/>
          <w:lang w:val="es-PY"/>
        </w:rPr>
        <w:t xml:space="preserve">el límite de gastos y costos a cargo del </w:t>
      </w:r>
      <w:r w:rsidR="0000198C" w:rsidRPr="002E1A9C">
        <w:rPr>
          <w:rFonts w:ascii="BaskervilleT" w:eastAsia="Times New Roman" w:hAnsi="BaskervilleT" w:cs="Times New Roman"/>
          <w:sz w:val="24"/>
          <w:szCs w:val="24"/>
          <w:lang w:val="es-PY"/>
        </w:rPr>
        <w:t>Fond</w:t>
      </w:r>
      <w:r w:rsidR="005066F0" w:rsidRPr="002E1A9C">
        <w:rPr>
          <w:rFonts w:ascii="BaskervilleT" w:hAnsi="BaskervilleT"/>
          <w:sz w:val="24"/>
          <w:szCs w:val="24"/>
        </w:rPr>
        <w:t xml:space="preserve">o el cual será publicitado conforme a </w:t>
      </w:r>
      <w:r w:rsidR="005066F0" w:rsidRPr="002E1A9C">
        <w:rPr>
          <w:rFonts w:ascii="BaskervilleT" w:eastAsia="Times New Roman" w:hAnsi="BaskervilleT" w:cs="Times New Roman"/>
          <w:sz w:val="24"/>
          <w:szCs w:val="24"/>
          <w:lang w:val="es-PY"/>
        </w:rPr>
        <w:t>la normativa aplicable.</w:t>
      </w:r>
    </w:p>
    <w:p w14:paraId="7EABFA2F" w14:textId="77777777" w:rsidR="005066F0" w:rsidRPr="002E1A9C" w:rsidRDefault="005066F0" w:rsidP="00FA0B4A">
      <w:pPr>
        <w:pStyle w:val="Prrafodelista"/>
        <w:numPr>
          <w:ilvl w:val="1"/>
          <w:numId w:val="38"/>
        </w:numPr>
        <w:spacing w:line="240" w:lineRule="atLeast"/>
        <w:jc w:val="both"/>
        <w:rPr>
          <w:rFonts w:ascii="BaskervilleT" w:hAnsi="BaskervilleT"/>
          <w:b/>
          <w:sz w:val="24"/>
          <w:szCs w:val="24"/>
        </w:rPr>
      </w:pPr>
      <w:r w:rsidRPr="002E1A9C">
        <w:rPr>
          <w:rFonts w:ascii="BaskervilleT" w:hAnsi="BaskervilleT"/>
          <w:b/>
          <w:sz w:val="24"/>
          <w:szCs w:val="24"/>
        </w:rPr>
        <w:t>Comisión de la Sociedad Administradora</w:t>
      </w:r>
    </w:p>
    <w:p w14:paraId="26A9E778" w14:textId="77777777" w:rsidR="005066F0" w:rsidRPr="002E1A9C" w:rsidRDefault="005066F0" w:rsidP="00FA0B4A">
      <w:pPr>
        <w:pStyle w:val="Prrafodelista"/>
        <w:numPr>
          <w:ilvl w:val="2"/>
          <w:numId w:val="38"/>
        </w:numPr>
        <w:spacing w:line="240" w:lineRule="atLeast"/>
        <w:jc w:val="both"/>
        <w:rPr>
          <w:rFonts w:ascii="BaskervilleT" w:eastAsia="Times New Roman" w:hAnsi="BaskervilleT" w:cs="Times New Roman"/>
          <w:bCs/>
          <w:sz w:val="24"/>
          <w:szCs w:val="24"/>
          <w:lang w:val="es-PY"/>
        </w:rPr>
      </w:pPr>
      <w:r w:rsidRPr="002E1A9C">
        <w:rPr>
          <w:rFonts w:ascii="BaskervilleT" w:eastAsia="Times New Roman" w:hAnsi="BaskervilleT" w:cs="Times New Roman"/>
          <w:bCs/>
          <w:sz w:val="24"/>
          <w:szCs w:val="24"/>
          <w:lang w:val="es-PY"/>
        </w:rPr>
        <w:t>La Sociedad Administradora percibirá por la administración del Fondo una remuneración de hasta</w:t>
      </w:r>
      <w:bookmarkStart w:id="15" w:name="_Hlk176968759"/>
      <w:r w:rsidRPr="002E1A9C">
        <w:rPr>
          <w:rFonts w:ascii="BaskervilleT" w:hAnsi="BaskervilleT"/>
          <w:color w:val="808080" w:themeColor="background1" w:themeShade="80"/>
          <w:sz w:val="24"/>
          <w:szCs w:val="24"/>
        </w:rPr>
        <w:t xml:space="preserve"> </w:t>
      </w:r>
      <w:sdt>
        <w:sdtPr>
          <w:rPr>
            <w:rFonts w:ascii="BaskervilleT" w:hAnsi="BaskervilleT"/>
            <w:sz w:val="24"/>
            <w:szCs w:val="24"/>
            <w:highlight w:val="lightGray"/>
          </w:rPr>
          <w:id w:val="1958833161"/>
          <w:placeholder>
            <w:docPart w:val="A9CF8DEF9ABE416F94AABCE07FF364D9"/>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w:value="7%"/>
          </w:comboBox>
        </w:sdtPr>
        <w:sdtEndPr/>
        <w:sdtContent>
          <w:r w:rsidRPr="002E1A9C">
            <w:rPr>
              <w:rStyle w:val="Textodelmarcadordeposicin"/>
              <w:rFonts w:ascii="BaskervilleT" w:hAnsi="BaskervilleT"/>
              <w:sz w:val="24"/>
              <w:szCs w:val="24"/>
              <w:highlight w:val="lightGray"/>
            </w:rPr>
            <w:t>Elija un elemento.</w:t>
          </w:r>
        </w:sdtContent>
      </w:sdt>
      <w:r w:rsidRPr="002E1A9C">
        <w:rPr>
          <w:rFonts w:ascii="BaskervilleT" w:eastAsia="Times New Roman" w:hAnsi="BaskervilleT" w:cs="Times New Roman"/>
          <w:bCs/>
          <w:sz w:val="24"/>
          <w:szCs w:val="24"/>
          <w:lang w:val="es-PY"/>
        </w:rPr>
        <w:t xml:space="preserve"> anual más</w:t>
      </w:r>
      <w:bookmarkEnd w:id="15"/>
      <w:r w:rsidRPr="002E1A9C">
        <w:rPr>
          <w:rFonts w:ascii="BaskervilleT" w:eastAsia="Times New Roman" w:hAnsi="BaskervilleT" w:cs="Times New Roman"/>
          <w:bCs/>
          <w:sz w:val="24"/>
          <w:szCs w:val="24"/>
          <w:lang w:val="es-PY"/>
        </w:rPr>
        <w:t xml:space="preserve"> IVA en concepto de comisión por administración del Fondo. </w:t>
      </w:r>
    </w:p>
    <w:p w14:paraId="5F21ACF3" w14:textId="18D35417" w:rsidR="005066F0" w:rsidRPr="002E1A9C" w:rsidRDefault="005066F0" w:rsidP="00FA0B4A">
      <w:pPr>
        <w:pStyle w:val="Prrafodelista"/>
        <w:numPr>
          <w:ilvl w:val="2"/>
          <w:numId w:val="38"/>
        </w:numPr>
        <w:spacing w:line="240" w:lineRule="atLeast"/>
        <w:jc w:val="both"/>
        <w:rPr>
          <w:rFonts w:ascii="BaskervilleT" w:eastAsia="Times New Roman" w:hAnsi="BaskervilleT" w:cs="Times New Roman"/>
          <w:bCs/>
          <w:sz w:val="24"/>
          <w:szCs w:val="24"/>
          <w:lang w:val="es-PY"/>
        </w:rPr>
      </w:pPr>
      <w:r w:rsidRPr="002E1A9C">
        <w:rPr>
          <w:rFonts w:ascii="BaskervilleT" w:eastAsia="Times New Roman" w:hAnsi="BaskervilleT" w:cs="Times New Roman"/>
          <w:bCs/>
          <w:sz w:val="24"/>
          <w:szCs w:val="24"/>
          <w:lang w:val="es-PY"/>
        </w:rPr>
        <w:t xml:space="preserve">La misma se devengará diariamente y se aplicará sobre el monto del </w:t>
      </w:r>
      <w:r w:rsidR="006B472F">
        <w:rPr>
          <w:rFonts w:ascii="BaskervilleT" w:eastAsia="Times New Roman" w:hAnsi="BaskervilleT" w:cs="Times New Roman"/>
          <w:bCs/>
          <w:sz w:val="24"/>
          <w:szCs w:val="24"/>
          <w:lang w:val="es-PY"/>
        </w:rPr>
        <w:t>patrimonio</w:t>
      </w:r>
      <w:r w:rsidRPr="002E1A9C">
        <w:rPr>
          <w:rFonts w:ascii="BaskervilleT" w:eastAsia="Times New Roman" w:hAnsi="BaskervilleT" w:cs="Times New Roman"/>
          <w:bCs/>
          <w:sz w:val="24"/>
          <w:szCs w:val="24"/>
          <w:lang w:val="es-PY"/>
        </w:rPr>
        <w:t xml:space="preserve"> neto del Fondo actualizado, y será hasta la fecha de vencimiento del plazo de duración del Fondo y/o su extinción. </w:t>
      </w:r>
    </w:p>
    <w:p w14:paraId="29F4D59F" w14:textId="77777777" w:rsidR="005066F0" w:rsidRDefault="005066F0" w:rsidP="00FA0B4A">
      <w:pPr>
        <w:pStyle w:val="Prrafodelista"/>
        <w:numPr>
          <w:ilvl w:val="2"/>
          <w:numId w:val="38"/>
        </w:numPr>
        <w:spacing w:line="240" w:lineRule="atLeast"/>
        <w:jc w:val="both"/>
        <w:rPr>
          <w:rFonts w:ascii="BaskervilleT" w:eastAsia="Times New Roman" w:hAnsi="BaskervilleT" w:cs="Times New Roman"/>
          <w:bCs/>
          <w:sz w:val="24"/>
          <w:szCs w:val="24"/>
          <w:lang w:val="es-PY"/>
        </w:rPr>
      </w:pPr>
      <w:r w:rsidRPr="002E1A9C">
        <w:rPr>
          <w:rFonts w:ascii="BaskervilleT" w:eastAsia="Times New Roman" w:hAnsi="BaskervilleT" w:cs="Times New Roman"/>
          <w:bCs/>
          <w:sz w:val="24"/>
          <w:szCs w:val="24"/>
          <w:lang w:val="es-PY"/>
        </w:rPr>
        <w:t>La Sociedad Administradora podrá disminuir la comisión a su criterio, pero para elevarla sobre el máximo de este Reglamento Interno, se deberá modificar el presente reglamento, previa autorización de la Superintendencia de Valores y de la Asamblea de Partícipes.</w:t>
      </w:r>
    </w:p>
    <w:p w14:paraId="3327EBD5" w14:textId="6933490A" w:rsidR="00E83348" w:rsidRPr="002E1A9C" w:rsidRDefault="00074A5D" w:rsidP="00A80E00">
      <w:pPr>
        <w:pStyle w:val="Prrafodelista"/>
        <w:numPr>
          <w:ilvl w:val="0"/>
          <w:numId w:val="38"/>
        </w:numPr>
        <w:spacing w:line="240" w:lineRule="atLeast"/>
        <w:contextualSpacing w:val="0"/>
        <w:jc w:val="both"/>
        <w:outlineLvl w:val="0"/>
        <w:rPr>
          <w:rFonts w:ascii="BaskervilleT" w:hAnsi="BaskervilleT"/>
          <w:b/>
          <w:bCs/>
          <w:sz w:val="24"/>
          <w:szCs w:val="24"/>
          <w:u w:val="single"/>
        </w:rPr>
      </w:pPr>
      <w:bookmarkStart w:id="16" w:name="_Hlk178844093"/>
      <w:r w:rsidRPr="002E1A9C">
        <w:rPr>
          <w:rFonts w:ascii="BaskervilleT" w:hAnsi="BaskervilleT"/>
          <w:b/>
          <w:bCs/>
          <w:sz w:val="24"/>
          <w:szCs w:val="24"/>
          <w:u w:val="single"/>
        </w:rPr>
        <w:t xml:space="preserve">POLÍTICA DE ADMINISTRACIÓN DE RIESGOS </w:t>
      </w:r>
    </w:p>
    <w:p w14:paraId="2ACDA434" w14:textId="51562B42" w:rsidR="0036517F" w:rsidRDefault="000E1580" w:rsidP="00FA0B4A">
      <w:pPr>
        <w:pStyle w:val="Prrafodelista"/>
        <w:numPr>
          <w:ilvl w:val="1"/>
          <w:numId w:val="38"/>
        </w:numPr>
        <w:spacing w:line="240" w:lineRule="atLeast"/>
        <w:ind w:left="851" w:hanging="491"/>
        <w:jc w:val="both"/>
        <w:rPr>
          <w:rFonts w:ascii="BaskervilleT" w:hAnsi="BaskervilleT"/>
          <w:sz w:val="24"/>
          <w:szCs w:val="24"/>
        </w:rPr>
      </w:pPr>
      <w:bookmarkStart w:id="17" w:name="_Hlk181260554"/>
      <w:r w:rsidRPr="002E1A9C">
        <w:rPr>
          <w:rFonts w:ascii="BaskervilleT" w:hAnsi="BaskervilleT"/>
          <w:sz w:val="24"/>
          <w:szCs w:val="24"/>
        </w:rPr>
        <w:t xml:space="preserve">La </w:t>
      </w:r>
      <w:r w:rsidR="00106838" w:rsidRPr="002E1A9C">
        <w:rPr>
          <w:rFonts w:ascii="BaskervilleT" w:hAnsi="BaskervilleT"/>
          <w:sz w:val="24"/>
          <w:szCs w:val="24"/>
        </w:rPr>
        <w:t xml:space="preserve">Sociedad </w:t>
      </w:r>
      <w:r w:rsidRPr="002E1A9C">
        <w:rPr>
          <w:rFonts w:ascii="BaskervilleT" w:hAnsi="BaskervilleT"/>
          <w:sz w:val="24"/>
          <w:szCs w:val="24"/>
        </w:rPr>
        <w:t xml:space="preserve">Administradora </w:t>
      </w:r>
      <w:r w:rsidR="003B6EE5" w:rsidRPr="002E1A9C">
        <w:rPr>
          <w:rFonts w:ascii="BaskervilleT" w:hAnsi="BaskervilleT"/>
          <w:sz w:val="24"/>
          <w:szCs w:val="24"/>
        </w:rPr>
        <w:t xml:space="preserve">establecerá procesos y mecanismos para </w:t>
      </w:r>
      <w:r w:rsidRPr="002E1A9C">
        <w:rPr>
          <w:rFonts w:ascii="BaskervilleT" w:hAnsi="BaskervilleT"/>
          <w:sz w:val="24"/>
          <w:szCs w:val="24"/>
        </w:rPr>
        <w:t xml:space="preserve">identificar, medir, tratar y monitorear los distintos tipos de riesgos que enfrentará el Fondo como consecuencia de las inversiones hechas. </w:t>
      </w:r>
      <w:r w:rsidR="003B6EE5" w:rsidRPr="002E1A9C">
        <w:rPr>
          <w:rFonts w:ascii="BaskervilleT" w:hAnsi="BaskervilleT"/>
          <w:sz w:val="24"/>
          <w:szCs w:val="24"/>
        </w:rPr>
        <w:t xml:space="preserve">Entre estas medidas </w:t>
      </w:r>
      <w:r w:rsidR="00E70827" w:rsidRPr="002E1A9C">
        <w:rPr>
          <w:rFonts w:ascii="BaskervilleT" w:hAnsi="BaskervilleT"/>
          <w:sz w:val="24"/>
          <w:szCs w:val="24"/>
        </w:rPr>
        <w:t>se señalan</w:t>
      </w:r>
      <w:r w:rsidRPr="002E1A9C">
        <w:rPr>
          <w:rFonts w:ascii="BaskervilleT" w:hAnsi="BaskervilleT"/>
          <w:sz w:val="24"/>
          <w:szCs w:val="24"/>
        </w:rPr>
        <w:t xml:space="preserve">: </w:t>
      </w:r>
    </w:p>
    <w:p w14:paraId="31EFF10A" w14:textId="77777777" w:rsidR="00620952" w:rsidRPr="002E1A9C" w:rsidRDefault="00620952" w:rsidP="00FA0B4A">
      <w:pPr>
        <w:pStyle w:val="Prrafodelista"/>
        <w:spacing w:line="240" w:lineRule="atLeast"/>
        <w:ind w:left="851"/>
        <w:jc w:val="both"/>
        <w:rPr>
          <w:rFonts w:ascii="BaskervilleT" w:hAnsi="BaskervilleT"/>
          <w:sz w:val="24"/>
          <w:szCs w:val="24"/>
        </w:rPr>
      </w:pPr>
    </w:p>
    <w:tbl>
      <w:tblPr>
        <w:tblStyle w:val="Tablaconcuadrcula"/>
        <w:tblW w:w="0" w:type="auto"/>
        <w:tblLook w:val="04A0" w:firstRow="1" w:lastRow="0" w:firstColumn="1" w:lastColumn="0" w:noHBand="0" w:noVBand="1"/>
      </w:tblPr>
      <w:tblGrid>
        <w:gridCol w:w="5672"/>
        <w:gridCol w:w="3347"/>
      </w:tblGrid>
      <w:tr w:rsidR="0036517F" w:rsidRPr="002E1A9C" w14:paraId="6DCAAD48" w14:textId="77777777" w:rsidTr="00EA0737">
        <w:tc>
          <w:tcPr>
            <w:tcW w:w="0" w:type="auto"/>
            <w:shd w:val="clear" w:color="auto" w:fill="244061" w:themeFill="accent1" w:themeFillShade="80"/>
          </w:tcPr>
          <w:bookmarkEnd w:id="17"/>
          <w:p w14:paraId="365FA94B" w14:textId="441A5A42" w:rsidR="0036517F" w:rsidRPr="002E1A9C" w:rsidRDefault="00B55827" w:rsidP="00FA0B4A">
            <w:pPr>
              <w:spacing w:line="320" w:lineRule="exact"/>
              <w:jc w:val="center"/>
              <w:rPr>
                <w:rFonts w:ascii="BaskervilleT" w:hAnsi="BaskervilleT"/>
                <w:b/>
                <w:color w:val="FFFFFF" w:themeColor="background1"/>
                <w:sz w:val="24"/>
                <w:szCs w:val="24"/>
              </w:rPr>
            </w:pPr>
            <w:r w:rsidRPr="002E1A9C">
              <w:rPr>
                <w:rFonts w:ascii="BaskervilleT" w:hAnsi="BaskervilleT"/>
                <w:b/>
                <w:color w:val="FFFFFF" w:themeColor="background1"/>
                <w:sz w:val="24"/>
                <w:szCs w:val="24"/>
              </w:rPr>
              <w:t>Riesgo</w:t>
            </w:r>
          </w:p>
        </w:tc>
        <w:tc>
          <w:tcPr>
            <w:tcW w:w="0" w:type="auto"/>
            <w:shd w:val="clear" w:color="auto" w:fill="244061" w:themeFill="accent1" w:themeFillShade="80"/>
          </w:tcPr>
          <w:p w14:paraId="0EEE79FE" w14:textId="33769169" w:rsidR="0036517F" w:rsidRPr="002E1A9C" w:rsidRDefault="00B55827" w:rsidP="00FA0B4A">
            <w:pPr>
              <w:spacing w:line="320" w:lineRule="exact"/>
              <w:jc w:val="center"/>
              <w:rPr>
                <w:rFonts w:ascii="BaskervilleT" w:hAnsi="BaskervilleT"/>
                <w:b/>
                <w:color w:val="FFFFFF" w:themeColor="background1"/>
                <w:sz w:val="24"/>
                <w:szCs w:val="24"/>
              </w:rPr>
            </w:pPr>
            <w:r w:rsidRPr="002E1A9C">
              <w:rPr>
                <w:rFonts w:ascii="BaskervilleT" w:hAnsi="BaskervilleT"/>
                <w:b/>
                <w:color w:val="FFFFFF" w:themeColor="background1"/>
                <w:sz w:val="24"/>
                <w:szCs w:val="24"/>
              </w:rPr>
              <w:t>Forma de Mitigación</w:t>
            </w:r>
          </w:p>
        </w:tc>
      </w:tr>
      <w:tr w:rsidR="0036517F" w:rsidRPr="002E1A9C" w14:paraId="435015E2" w14:textId="77777777" w:rsidTr="00EA0737">
        <w:tc>
          <w:tcPr>
            <w:tcW w:w="0" w:type="auto"/>
          </w:tcPr>
          <w:p w14:paraId="1366A336" w14:textId="14112370" w:rsidR="0036517F" w:rsidRPr="002E1A9C" w:rsidRDefault="0036517F" w:rsidP="00FA0B4A">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de tasa de interés: Posibilidad que disminuya el valor de las inversiones del Fondo y, por consiguiente, el valor de cuota como consecuencia de aumentos en las tasas de rendimiento de mercado, pudiendo ocasionar inclusive pérdidas. El impacto de las variaciones en las tasas de interés de mercado dependerá de las características del instrumento, de su plazo, de su categoría de riesgo, entre otras</w:t>
            </w:r>
          </w:p>
        </w:tc>
        <w:tc>
          <w:tcPr>
            <w:tcW w:w="0" w:type="auto"/>
            <w:shd w:val="clear" w:color="auto" w:fill="F2F2F2" w:themeFill="background1" w:themeFillShade="F2"/>
          </w:tcPr>
          <w:p w14:paraId="291FC833" w14:textId="59D5D1F6"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6CBD3E21" w14:textId="77777777" w:rsidTr="00EA0737">
        <w:tc>
          <w:tcPr>
            <w:tcW w:w="0" w:type="auto"/>
          </w:tcPr>
          <w:p w14:paraId="72645245" w14:textId="2967226C" w:rsidR="0036517F" w:rsidRPr="002E1A9C" w:rsidRDefault="0036517F" w:rsidP="00FA0B4A">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lastRenderedPageBreak/>
              <w:t>Riesgo de liquidez: Dificultad para vender instrumentos componentes de la cartera del Fondo en la oportunidad solicitada por la Sociedad Administradora, lo cual podría ocasionar problemas en el pago de los rescates o en el precio de venta.</w:t>
            </w:r>
          </w:p>
        </w:tc>
        <w:tc>
          <w:tcPr>
            <w:tcW w:w="0" w:type="auto"/>
            <w:shd w:val="clear" w:color="auto" w:fill="F2F2F2" w:themeFill="background1" w:themeFillShade="F2"/>
          </w:tcPr>
          <w:p w14:paraId="769C7EE6" w14:textId="7AE4BC41"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635766F7" w14:textId="77777777" w:rsidTr="00EA0737">
        <w:tc>
          <w:tcPr>
            <w:tcW w:w="0" w:type="auto"/>
          </w:tcPr>
          <w:p w14:paraId="33056C81" w14:textId="293E6610" w:rsidR="0036517F" w:rsidRPr="002E1A9C" w:rsidRDefault="0036517F" w:rsidP="00FA0B4A">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país: Posibles disminuciones en el valor de las inversiones del Fondo, y en el valor cuota como consecuencia de cambios en la coyuntura económica, financiera, jurídica y política del país en que se invierte, pudiendo ocasionar pérdidas.</w:t>
            </w:r>
          </w:p>
        </w:tc>
        <w:tc>
          <w:tcPr>
            <w:tcW w:w="0" w:type="auto"/>
            <w:shd w:val="clear" w:color="auto" w:fill="F2F2F2" w:themeFill="background1" w:themeFillShade="F2"/>
          </w:tcPr>
          <w:p w14:paraId="5D857146" w14:textId="34170D6A"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75C33750" w14:textId="77777777" w:rsidTr="00EA0737">
        <w:tc>
          <w:tcPr>
            <w:tcW w:w="0" w:type="auto"/>
          </w:tcPr>
          <w:p w14:paraId="2B15F816" w14:textId="62B8E3CA" w:rsidR="0036517F" w:rsidRPr="002E1A9C" w:rsidRDefault="0036517F" w:rsidP="00FA0B4A">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emisor: Posible disminución en el valor de las inversiones derivado de factores que afecten la capacidad del emisor para cumplir con sus compromisos de pagar intereses o reembolsar del principal en las oportunidades previstas.</w:t>
            </w:r>
          </w:p>
        </w:tc>
        <w:tc>
          <w:tcPr>
            <w:tcW w:w="0" w:type="auto"/>
            <w:shd w:val="clear" w:color="auto" w:fill="F2F2F2" w:themeFill="background1" w:themeFillShade="F2"/>
          </w:tcPr>
          <w:p w14:paraId="64D2603F" w14:textId="736A6276"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25353053" w14:textId="77777777" w:rsidTr="00EA0737">
        <w:tc>
          <w:tcPr>
            <w:tcW w:w="0" w:type="auto"/>
          </w:tcPr>
          <w:p w14:paraId="5D2DDD84" w14:textId="0286A293" w:rsidR="0036517F" w:rsidRPr="002E1A9C" w:rsidRDefault="0036517F" w:rsidP="00FA0B4A">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de reinversión: Posibilidad que los rendimientos de las nuevas inversiones del Fondo provenientes del efectivo que es reinvertido no sea la misma como consecuencia de la variación de las tasas de rendimiento de mercado, lo que ocasionaría una disminución de la rentabilidad del Fondo.</w:t>
            </w:r>
          </w:p>
        </w:tc>
        <w:tc>
          <w:tcPr>
            <w:tcW w:w="0" w:type="auto"/>
            <w:shd w:val="clear" w:color="auto" w:fill="F2F2F2" w:themeFill="background1" w:themeFillShade="F2"/>
          </w:tcPr>
          <w:p w14:paraId="35C6C30A" w14:textId="53504998"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6F8CEF50" w14:textId="77777777" w:rsidTr="00EA0737">
        <w:tc>
          <w:tcPr>
            <w:tcW w:w="0" w:type="auto"/>
          </w:tcPr>
          <w:p w14:paraId="06A767B0" w14:textId="5D66210E" w:rsidR="0036517F" w:rsidRPr="002E1A9C" w:rsidRDefault="0036517F" w:rsidP="00FA0B4A">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t>Riesgo de contraparte: Posibilidad de que la contraparte en una transacción financiera no cumpla con sus obligaciones contractuales, lo que podría resultar en pérdidas para el Fondo. Este riesgo se manifiesta cuando la contraparte no paga intereses o no entrega los activos acordados en la transacción</w:t>
            </w:r>
          </w:p>
        </w:tc>
        <w:tc>
          <w:tcPr>
            <w:tcW w:w="0" w:type="auto"/>
            <w:shd w:val="clear" w:color="auto" w:fill="F2F2F2" w:themeFill="background1" w:themeFillShade="F2"/>
          </w:tcPr>
          <w:p w14:paraId="5F4184B5" w14:textId="77777777"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36517F" w:rsidRPr="002E1A9C" w14:paraId="5DB2B41A" w14:textId="77777777" w:rsidTr="00EA0737">
        <w:tc>
          <w:tcPr>
            <w:tcW w:w="0" w:type="auto"/>
          </w:tcPr>
          <w:p w14:paraId="0CC5CEEB" w14:textId="673664A4" w:rsidR="0036517F" w:rsidRPr="002E1A9C" w:rsidRDefault="0036517F" w:rsidP="00FA0B4A">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t>Riesgo de concentración: Posibilidad de que una alta concentración de inversiones en un solo emisor, sector, o tipo de activo aumente la vulnerabilidad del Fondo a eventos adversos específicos. Esto puede resultar en pérdidas significativas si el emisor o sector en el que se concentra la inversión enfrenta dificultades financieras o de mercado</w:t>
            </w:r>
          </w:p>
        </w:tc>
        <w:tc>
          <w:tcPr>
            <w:tcW w:w="0" w:type="auto"/>
            <w:shd w:val="clear" w:color="auto" w:fill="F2F2F2" w:themeFill="background1" w:themeFillShade="F2"/>
          </w:tcPr>
          <w:p w14:paraId="1B9FD4C8" w14:textId="77777777"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F5001B" w:rsidRPr="002E1A9C" w14:paraId="40C9C3CF" w14:textId="77777777" w:rsidTr="00EA0737">
        <w:tc>
          <w:tcPr>
            <w:tcW w:w="0" w:type="auto"/>
          </w:tcPr>
          <w:p w14:paraId="23B8A976" w14:textId="3A6A547E" w:rsidR="00F5001B" w:rsidRPr="002E1A9C" w:rsidRDefault="00F5001B" w:rsidP="00FA0B4A">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sz w:val="24"/>
                <w:szCs w:val="24"/>
                <w:lang w:val="es"/>
              </w:rPr>
              <w:t>Riesgo de tipo de cambio: Posibilidad</w:t>
            </w:r>
            <w:r w:rsidRPr="002E1A9C">
              <w:rPr>
                <w:rFonts w:ascii="BaskervilleT" w:eastAsia="Times New Roman" w:hAnsi="BaskervilleT" w:cs="Times New Roman"/>
                <w:bCs/>
                <w:sz w:val="24"/>
                <w:szCs w:val="24"/>
                <w:lang w:val="es"/>
              </w:rPr>
              <w:t xml:space="preserve"> de que las fluctuaciones en las tasas de cambio entre la moneda de las inversiones y la del Fondo reduzcan el valor de las inversiones y el valor cuota. Una apreciación de la moneda base o una depreciación de la moneda extranjera puede generar pérdidas. La magnitud del </w:t>
            </w:r>
            <w:r w:rsidRPr="002E1A9C">
              <w:rPr>
                <w:rFonts w:ascii="BaskervilleT" w:eastAsia="Times New Roman" w:hAnsi="BaskervilleT" w:cs="Times New Roman"/>
                <w:bCs/>
                <w:sz w:val="24"/>
                <w:szCs w:val="24"/>
                <w:lang w:val="es"/>
              </w:rPr>
              <w:lastRenderedPageBreak/>
              <w:t xml:space="preserve">riesgo dependerá de la exposición a monedas extranjeras y de la volatilidad del mercado cambiario. </w:t>
            </w:r>
          </w:p>
          <w:p w14:paraId="5C5F2101" w14:textId="03BD6B89" w:rsidR="00D629C5" w:rsidRPr="002E1A9C" w:rsidRDefault="00D629C5" w:rsidP="00FA0B4A">
            <w:pPr>
              <w:spacing w:line="320" w:lineRule="exact"/>
              <w:jc w:val="both"/>
              <w:rPr>
                <w:rFonts w:ascii="BaskervilleT" w:eastAsia="Times New Roman" w:hAnsi="BaskervilleT" w:cs="Times New Roman"/>
                <w:bCs/>
                <w:sz w:val="24"/>
                <w:szCs w:val="24"/>
              </w:rPr>
            </w:pPr>
            <w:r w:rsidRPr="002E1A9C">
              <w:rPr>
                <w:rFonts w:ascii="BaskervilleT" w:hAnsi="BaskervilleT"/>
                <w:sz w:val="24"/>
                <w:szCs w:val="24"/>
              </w:rPr>
              <w:t>Para mitigar este riesgo, se podrán implementar estrategias de cobertura, aunque estas no garantizan la eliminación completa de las posibles pérdidas.</w:t>
            </w:r>
          </w:p>
        </w:tc>
        <w:tc>
          <w:tcPr>
            <w:tcW w:w="0" w:type="auto"/>
            <w:shd w:val="clear" w:color="auto" w:fill="F2F2F2" w:themeFill="background1" w:themeFillShade="F2"/>
          </w:tcPr>
          <w:p w14:paraId="488210C2" w14:textId="0A3ECDFA" w:rsidR="00F5001B" w:rsidRPr="002E1A9C" w:rsidRDefault="00F5001B"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lastRenderedPageBreak/>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bookmarkEnd w:id="16"/>
      <w:tr w:rsidR="0036517F" w:rsidRPr="002E1A9C" w14:paraId="3717D703" w14:textId="77777777" w:rsidTr="00EA0737">
        <w:tc>
          <w:tcPr>
            <w:tcW w:w="0" w:type="auto"/>
          </w:tcPr>
          <w:p w14:paraId="2BB4332C" w14:textId="0045A75E" w:rsidR="0036517F" w:rsidRPr="002E1A9C" w:rsidRDefault="0036517F" w:rsidP="00FA0B4A">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color w:val="808080" w:themeColor="background1" w:themeShade="80"/>
                <w:sz w:val="24"/>
                <w:szCs w:val="24"/>
              </w:rPr>
              <w:fldChar w:fldCharType="begin">
                <w:ffData>
                  <w:name w:val="Texto11"/>
                  <w:enabled/>
                  <w:calcOnExit w:val="0"/>
                  <w:textInput>
                    <w:default w:val="Otro Riesgo que la Sociedad Administradora considere incluir considerando el objeto del Fondo. "/>
                  </w:textInput>
                </w:ffData>
              </w:fldChar>
            </w:r>
            <w:r w:rsidRPr="002E1A9C">
              <w:rPr>
                <w:rFonts w:ascii="BaskervilleT" w:eastAsia="Times New Roman" w:hAnsi="BaskervilleT" w:cs="Times New Roman"/>
                <w:bCs/>
                <w:color w:val="808080" w:themeColor="background1" w:themeShade="80"/>
                <w:sz w:val="24"/>
                <w:szCs w:val="24"/>
              </w:rPr>
              <w:instrText xml:space="preserve"> FORMTEXT </w:instrText>
            </w:r>
            <w:r w:rsidRPr="002E1A9C">
              <w:rPr>
                <w:rFonts w:ascii="BaskervilleT" w:eastAsia="Times New Roman" w:hAnsi="BaskervilleT" w:cs="Times New Roman"/>
                <w:bCs/>
                <w:color w:val="808080" w:themeColor="background1" w:themeShade="80"/>
                <w:sz w:val="24"/>
                <w:szCs w:val="24"/>
              </w:rPr>
            </w:r>
            <w:r w:rsidRPr="002E1A9C">
              <w:rPr>
                <w:rFonts w:ascii="BaskervilleT" w:eastAsia="Times New Roman" w:hAnsi="BaskervilleT" w:cs="Times New Roman"/>
                <w:bCs/>
                <w:color w:val="808080" w:themeColor="background1" w:themeShade="80"/>
                <w:sz w:val="24"/>
                <w:szCs w:val="24"/>
              </w:rPr>
              <w:fldChar w:fldCharType="separate"/>
            </w:r>
            <w:r w:rsidRPr="002E1A9C">
              <w:rPr>
                <w:rFonts w:ascii="BaskervilleT" w:eastAsia="Times New Roman" w:hAnsi="BaskervilleT" w:cs="Times New Roman"/>
                <w:bCs/>
                <w:noProof/>
                <w:color w:val="808080" w:themeColor="background1" w:themeShade="80"/>
                <w:sz w:val="24"/>
                <w:szCs w:val="24"/>
              </w:rPr>
              <w:t xml:space="preserve">Otro Riesgo que la Sociedad Administradora considere incluir considerando el objeto del Fondo. </w:t>
            </w:r>
            <w:r w:rsidRPr="002E1A9C">
              <w:rPr>
                <w:rFonts w:ascii="BaskervilleT" w:eastAsia="Times New Roman" w:hAnsi="BaskervilleT" w:cs="Times New Roman"/>
                <w:bCs/>
                <w:color w:val="808080" w:themeColor="background1" w:themeShade="80"/>
                <w:sz w:val="24"/>
                <w:szCs w:val="24"/>
              </w:rPr>
              <w:fldChar w:fldCharType="end"/>
            </w:r>
          </w:p>
        </w:tc>
        <w:tc>
          <w:tcPr>
            <w:tcW w:w="0" w:type="auto"/>
            <w:shd w:val="clear" w:color="auto" w:fill="F2F2F2" w:themeFill="background1" w:themeFillShade="F2"/>
          </w:tcPr>
          <w:p w14:paraId="3B1BDDC6" w14:textId="77777777" w:rsidR="0036517F" w:rsidRPr="002E1A9C" w:rsidRDefault="0036517F" w:rsidP="00FA0B4A">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bl>
    <w:p w14:paraId="3E632DD6" w14:textId="77777777" w:rsidR="00BD3D91" w:rsidRPr="002E1A9C" w:rsidRDefault="00BD3D91" w:rsidP="00FA0B4A">
      <w:pPr>
        <w:spacing w:line="240" w:lineRule="atLeast"/>
        <w:jc w:val="both"/>
        <w:rPr>
          <w:rFonts w:ascii="BaskervilleT" w:hAnsi="BaskervilleT"/>
          <w:sz w:val="24"/>
          <w:szCs w:val="24"/>
        </w:rPr>
      </w:pPr>
    </w:p>
    <w:sectPr w:rsidR="00BD3D91" w:rsidRPr="002E1A9C">
      <w:headerReference w:type="default" r:id="rId11"/>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DA8C8" w14:textId="77777777" w:rsidR="009A1311" w:rsidRDefault="009A1311">
      <w:pPr>
        <w:spacing w:line="240" w:lineRule="auto"/>
      </w:pPr>
      <w:r>
        <w:separator/>
      </w:r>
    </w:p>
  </w:endnote>
  <w:endnote w:type="continuationSeparator" w:id="0">
    <w:p w14:paraId="55A17997" w14:textId="77777777" w:rsidR="009A1311" w:rsidRDefault="009A1311">
      <w:pPr>
        <w:spacing w:line="240" w:lineRule="auto"/>
      </w:pPr>
      <w:r>
        <w:continuationSeparator/>
      </w:r>
    </w:p>
  </w:endnote>
  <w:endnote w:type="continuationNotice" w:id="1">
    <w:p w14:paraId="745AD04C" w14:textId="77777777" w:rsidR="009A1311" w:rsidRDefault="009A13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skervilleT">
    <w:altName w:val="Baskerville T"/>
    <w:panose1 w:val="02040603050505020303"/>
    <w:charset w:val="00"/>
    <w:family w:val="roman"/>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96F17" w14:textId="77777777" w:rsidR="00BD3D91" w:rsidRDefault="003E3929">
    <w:pPr>
      <w:jc w:val="center"/>
    </w:pPr>
    <w:r>
      <w:fldChar w:fldCharType="begin"/>
    </w:r>
    <w:r>
      <w:instrText>PAGE</w:instrText>
    </w:r>
    <w:r>
      <w:fldChar w:fldCharType="separate"/>
    </w:r>
    <w:r w:rsidR="00E2029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ABB50" w14:textId="77777777" w:rsidR="009A1311" w:rsidRDefault="009A1311">
      <w:pPr>
        <w:spacing w:line="240" w:lineRule="auto"/>
      </w:pPr>
      <w:r>
        <w:separator/>
      </w:r>
    </w:p>
  </w:footnote>
  <w:footnote w:type="continuationSeparator" w:id="0">
    <w:p w14:paraId="7FB9D820" w14:textId="77777777" w:rsidR="009A1311" w:rsidRDefault="009A1311">
      <w:pPr>
        <w:spacing w:line="240" w:lineRule="auto"/>
      </w:pPr>
      <w:r>
        <w:continuationSeparator/>
      </w:r>
    </w:p>
  </w:footnote>
  <w:footnote w:type="continuationNotice" w:id="1">
    <w:p w14:paraId="37818C49" w14:textId="77777777" w:rsidR="009A1311" w:rsidRDefault="009A13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CBCCA" w14:textId="77777777" w:rsidR="009A3818" w:rsidRDefault="004F75AC" w:rsidP="004F75AC">
    <w:pPr>
      <w:jc w:val="center"/>
      <w:rPr>
        <w:rFonts w:ascii="Times New Roman" w:eastAsia="Times New Roman" w:hAnsi="Times New Roman" w:cs="Times New Roman"/>
        <w:b/>
        <w:sz w:val="24"/>
        <w:szCs w:val="24"/>
        <w:lang w:val="es-PY"/>
      </w:rPr>
    </w:pPr>
    <w:bookmarkStart w:id="18" w:name="_Hlk139875833"/>
    <w:r>
      <w:rPr>
        <w:rFonts w:ascii="Times New Roman" w:eastAsia="Times New Roman" w:hAnsi="Times New Roman" w:cs="Times New Roman"/>
        <w:b/>
        <w:sz w:val="24"/>
        <w:szCs w:val="24"/>
        <w:lang w:val="es-PY"/>
      </w:rPr>
      <w:t xml:space="preserve">ANEXO II </w:t>
    </w:r>
  </w:p>
  <w:p w14:paraId="6D0A1B3E" w14:textId="78FC093C" w:rsidR="004F75AC" w:rsidRPr="004F43C9" w:rsidRDefault="004F75AC" w:rsidP="004F75AC">
    <w:pPr>
      <w:jc w:val="center"/>
      <w:rPr>
        <w:rFonts w:ascii="Times New Roman" w:eastAsia="Times New Roman" w:hAnsi="Times New Roman" w:cs="Times New Roman"/>
        <w:b/>
        <w:sz w:val="24"/>
        <w:szCs w:val="24"/>
        <w:lang w:val="es-PY"/>
      </w:rPr>
    </w:pPr>
    <w:r>
      <w:rPr>
        <w:rFonts w:ascii="Times New Roman" w:eastAsia="Times New Roman" w:hAnsi="Times New Roman" w:cs="Times New Roman"/>
        <w:b/>
        <w:sz w:val="24"/>
        <w:szCs w:val="24"/>
        <w:lang w:val="es-PY"/>
      </w:rPr>
      <w:t xml:space="preserve">REGLAMENTO INTERNO ESPECÍFICO </w:t>
    </w:r>
    <w:r w:rsidR="009A3818">
      <w:rPr>
        <w:rFonts w:ascii="Times New Roman" w:eastAsia="Times New Roman" w:hAnsi="Times New Roman" w:cs="Times New Roman"/>
        <w:b/>
        <w:sz w:val="24"/>
        <w:szCs w:val="24"/>
        <w:lang w:val="es-PY"/>
      </w:rPr>
      <w:t>DE</w:t>
    </w:r>
    <w:r>
      <w:rPr>
        <w:rFonts w:ascii="Times New Roman" w:eastAsia="Times New Roman" w:hAnsi="Times New Roman" w:cs="Times New Roman"/>
        <w:b/>
        <w:sz w:val="24"/>
        <w:szCs w:val="24"/>
        <w:lang w:val="es-PY"/>
      </w:rPr>
      <w:t xml:space="preserve"> FONDO DE INVERSIÓN</w:t>
    </w:r>
  </w:p>
  <w:bookmarkEnd w:id="18"/>
  <w:p w14:paraId="6B3FCD9C" w14:textId="77777777" w:rsidR="00BD3D91" w:rsidRPr="004F75AC" w:rsidRDefault="00BD3D91" w:rsidP="004F75AC">
    <w:pPr>
      <w:pStyle w:val="Encabezado"/>
      <w:rPr>
        <w:lang w:val="es-P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3F3981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591EBA"/>
    <w:multiLevelType w:val="multilevel"/>
    <w:tmpl w:val="DDDE349E"/>
    <w:lvl w:ilvl="0">
      <w:start w:val="1"/>
      <w:numFmt w:val="ideographDigital"/>
      <w:lvlText w:val=""/>
      <w:lvlJc w:val="left"/>
    </w:lvl>
    <w:lvl w:ilvl="1">
      <w:start w:val="1"/>
      <w:numFmt w:val="upperRoman"/>
      <w:lvlText w:val="%1"/>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E709F9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B1769E"/>
    <w:multiLevelType w:val="hybridMultilevel"/>
    <w:tmpl w:val="AF3871D2"/>
    <w:lvl w:ilvl="0" w:tplc="361E674E">
      <w:start w:val="9"/>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0474166A"/>
    <w:multiLevelType w:val="multilevel"/>
    <w:tmpl w:val="BEF2C164"/>
    <w:lvl w:ilvl="0">
      <w:start w:val="2"/>
      <w:numFmt w:val="decimal"/>
      <w:lvlText w:val="%1."/>
      <w:lvlJc w:val="left"/>
      <w:pPr>
        <w:ind w:left="390" w:hanging="390"/>
      </w:pPr>
      <w:rPr>
        <w:rFonts w:hint="default"/>
        <w:b/>
        <w:bCs w:val="0"/>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6E76D7B"/>
    <w:multiLevelType w:val="multilevel"/>
    <w:tmpl w:val="8ED06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79582E"/>
    <w:multiLevelType w:val="multilevel"/>
    <w:tmpl w:val="2A10191C"/>
    <w:styleLink w:val="Listaactual1"/>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350AE0"/>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8002D2"/>
    <w:multiLevelType w:val="hybridMultilevel"/>
    <w:tmpl w:val="55B0C92E"/>
    <w:lvl w:ilvl="0" w:tplc="5AE464EE">
      <w:start w:val="1"/>
      <w:numFmt w:val="decimal"/>
      <w:lvlText w:val="%1."/>
      <w:lvlJc w:val="left"/>
      <w:pPr>
        <w:ind w:left="720" w:hanging="360"/>
      </w:pPr>
      <w:rPr>
        <w:rFonts w:ascii="BaskervilleT" w:eastAsia="Times New Roman" w:hAnsi="BaskervilleT" w:cs="Times New Roman" w:hint="default"/>
        <w:sz w:val="2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5F74A48"/>
    <w:multiLevelType w:val="multilevel"/>
    <w:tmpl w:val="CF0813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D0302F"/>
    <w:multiLevelType w:val="multilevel"/>
    <w:tmpl w:val="56CEAE7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DD2B2F"/>
    <w:multiLevelType w:val="multilevel"/>
    <w:tmpl w:val="C6DA272A"/>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A577F"/>
    <w:multiLevelType w:val="multilevel"/>
    <w:tmpl w:val="D42AD6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A02EAF"/>
    <w:multiLevelType w:val="multilevel"/>
    <w:tmpl w:val="6540B9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9C6D1D"/>
    <w:multiLevelType w:val="hybridMultilevel"/>
    <w:tmpl w:val="20502332"/>
    <w:lvl w:ilvl="0" w:tplc="3C0A0001">
      <w:start w:val="5"/>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5" w15:restartNumberingAfterBreak="0">
    <w:nsid w:val="306E3903"/>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1D519A"/>
    <w:multiLevelType w:val="multilevel"/>
    <w:tmpl w:val="59CAFD9C"/>
    <w:lvl w:ilvl="0">
      <w:start w:val="1"/>
      <w:numFmt w:val="decimal"/>
      <w:lvlText w:val="%1."/>
      <w:lvlJc w:val="left"/>
      <w:pPr>
        <w:ind w:left="862" w:hanging="360"/>
      </w:pPr>
      <w:rPr>
        <w:rFonts w:hint="default"/>
      </w:rPr>
    </w:lvl>
    <w:lvl w:ilvl="1">
      <w:start w:val="3"/>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7" w15:restartNumberingAfterBreak="0">
    <w:nsid w:val="34BF4636"/>
    <w:multiLevelType w:val="multilevel"/>
    <w:tmpl w:val="3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7CA0F8"/>
    <w:multiLevelType w:val="multilevel"/>
    <w:tmpl w:val="5D697942"/>
    <w:lvl w:ilvl="0">
      <w:start w:val="1"/>
      <w:numFmt w:val="ideographDigital"/>
      <w:lvlText w:val=""/>
      <w:lvlJc w:val="left"/>
    </w:lvl>
    <w:lvl w:ilvl="1">
      <w:start w:val="1"/>
      <w:numFmt w:val="upperRoman"/>
      <w:lvlText w:val="%1"/>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FC1726"/>
    <w:multiLevelType w:val="multilevel"/>
    <w:tmpl w:val="98B61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C4C89"/>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316BF6"/>
    <w:multiLevelType w:val="multilevel"/>
    <w:tmpl w:val="1D6ABB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423503"/>
    <w:multiLevelType w:val="multilevel"/>
    <w:tmpl w:val="E3107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6392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865E80"/>
    <w:multiLevelType w:val="hybridMultilevel"/>
    <w:tmpl w:val="3A068396"/>
    <w:lvl w:ilvl="0" w:tplc="7C2C034C">
      <w:start w:val="1"/>
      <w:numFmt w:val="decimal"/>
      <w:lvlText w:val="%1."/>
      <w:lvlJc w:val="left"/>
      <w:pPr>
        <w:ind w:left="1020" w:hanging="360"/>
      </w:pPr>
    </w:lvl>
    <w:lvl w:ilvl="1" w:tplc="DFAE93BA">
      <w:start w:val="1"/>
      <w:numFmt w:val="decimal"/>
      <w:lvlText w:val="%2."/>
      <w:lvlJc w:val="left"/>
      <w:pPr>
        <w:ind w:left="1020" w:hanging="360"/>
      </w:pPr>
    </w:lvl>
    <w:lvl w:ilvl="2" w:tplc="C55AB308">
      <w:start w:val="1"/>
      <w:numFmt w:val="decimal"/>
      <w:lvlText w:val="%3."/>
      <w:lvlJc w:val="left"/>
      <w:pPr>
        <w:ind w:left="1020" w:hanging="360"/>
      </w:pPr>
    </w:lvl>
    <w:lvl w:ilvl="3" w:tplc="CA3ABB3E">
      <w:start w:val="1"/>
      <w:numFmt w:val="decimal"/>
      <w:lvlText w:val="%4."/>
      <w:lvlJc w:val="left"/>
      <w:pPr>
        <w:ind w:left="1020" w:hanging="360"/>
      </w:pPr>
    </w:lvl>
    <w:lvl w:ilvl="4" w:tplc="BC8E1660">
      <w:start w:val="1"/>
      <w:numFmt w:val="decimal"/>
      <w:lvlText w:val="%5."/>
      <w:lvlJc w:val="left"/>
      <w:pPr>
        <w:ind w:left="1020" w:hanging="360"/>
      </w:pPr>
    </w:lvl>
    <w:lvl w:ilvl="5" w:tplc="BE3CABCA">
      <w:start w:val="1"/>
      <w:numFmt w:val="decimal"/>
      <w:lvlText w:val="%6."/>
      <w:lvlJc w:val="left"/>
      <w:pPr>
        <w:ind w:left="1020" w:hanging="360"/>
      </w:pPr>
    </w:lvl>
    <w:lvl w:ilvl="6" w:tplc="F490004E">
      <w:start w:val="1"/>
      <w:numFmt w:val="decimal"/>
      <w:lvlText w:val="%7."/>
      <w:lvlJc w:val="left"/>
      <w:pPr>
        <w:ind w:left="1020" w:hanging="360"/>
      </w:pPr>
    </w:lvl>
    <w:lvl w:ilvl="7" w:tplc="14D8220E">
      <w:start w:val="1"/>
      <w:numFmt w:val="decimal"/>
      <w:lvlText w:val="%8."/>
      <w:lvlJc w:val="left"/>
      <w:pPr>
        <w:ind w:left="1020" w:hanging="360"/>
      </w:pPr>
    </w:lvl>
    <w:lvl w:ilvl="8" w:tplc="F98C07B8">
      <w:start w:val="1"/>
      <w:numFmt w:val="decimal"/>
      <w:lvlText w:val="%9."/>
      <w:lvlJc w:val="left"/>
      <w:pPr>
        <w:ind w:left="1020" w:hanging="360"/>
      </w:pPr>
    </w:lvl>
  </w:abstractNum>
  <w:abstractNum w:abstractNumId="25" w15:restartNumberingAfterBreak="0">
    <w:nsid w:val="444A7FF9"/>
    <w:multiLevelType w:val="hybridMultilevel"/>
    <w:tmpl w:val="7B7A8D8C"/>
    <w:lvl w:ilvl="0" w:tplc="CEEA9F2C">
      <w:start w:val="1"/>
      <w:numFmt w:val="decimal"/>
      <w:lvlText w:val="%1."/>
      <w:lvlJc w:val="left"/>
      <w:pPr>
        <w:ind w:left="1440" w:hanging="360"/>
      </w:pPr>
    </w:lvl>
    <w:lvl w:ilvl="1" w:tplc="DDD6F1FA">
      <w:start w:val="1"/>
      <w:numFmt w:val="decimal"/>
      <w:lvlText w:val="%2."/>
      <w:lvlJc w:val="left"/>
      <w:pPr>
        <w:ind w:left="1440" w:hanging="360"/>
      </w:pPr>
    </w:lvl>
    <w:lvl w:ilvl="2" w:tplc="B69035DC">
      <w:start w:val="1"/>
      <w:numFmt w:val="decimal"/>
      <w:lvlText w:val="%3."/>
      <w:lvlJc w:val="left"/>
      <w:pPr>
        <w:ind w:left="1440" w:hanging="360"/>
      </w:pPr>
    </w:lvl>
    <w:lvl w:ilvl="3" w:tplc="893C3106">
      <w:start w:val="1"/>
      <w:numFmt w:val="decimal"/>
      <w:lvlText w:val="%4."/>
      <w:lvlJc w:val="left"/>
      <w:pPr>
        <w:ind w:left="1440" w:hanging="360"/>
      </w:pPr>
    </w:lvl>
    <w:lvl w:ilvl="4" w:tplc="23A866CA">
      <w:start w:val="1"/>
      <w:numFmt w:val="decimal"/>
      <w:lvlText w:val="%5."/>
      <w:lvlJc w:val="left"/>
      <w:pPr>
        <w:ind w:left="1440" w:hanging="360"/>
      </w:pPr>
    </w:lvl>
    <w:lvl w:ilvl="5" w:tplc="DFE4C036">
      <w:start w:val="1"/>
      <w:numFmt w:val="decimal"/>
      <w:lvlText w:val="%6."/>
      <w:lvlJc w:val="left"/>
      <w:pPr>
        <w:ind w:left="1440" w:hanging="360"/>
      </w:pPr>
    </w:lvl>
    <w:lvl w:ilvl="6" w:tplc="8C94909E">
      <w:start w:val="1"/>
      <w:numFmt w:val="decimal"/>
      <w:lvlText w:val="%7."/>
      <w:lvlJc w:val="left"/>
      <w:pPr>
        <w:ind w:left="1440" w:hanging="360"/>
      </w:pPr>
    </w:lvl>
    <w:lvl w:ilvl="7" w:tplc="99DC2692">
      <w:start w:val="1"/>
      <w:numFmt w:val="decimal"/>
      <w:lvlText w:val="%8."/>
      <w:lvlJc w:val="left"/>
      <w:pPr>
        <w:ind w:left="1440" w:hanging="360"/>
      </w:pPr>
    </w:lvl>
    <w:lvl w:ilvl="8" w:tplc="0282B3D0">
      <w:start w:val="1"/>
      <w:numFmt w:val="decimal"/>
      <w:lvlText w:val="%9."/>
      <w:lvlJc w:val="left"/>
      <w:pPr>
        <w:ind w:left="1440" w:hanging="360"/>
      </w:pPr>
    </w:lvl>
  </w:abstractNum>
  <w:abstractNum w:abstractNumId="26" w15:restartNumberingAfterBreak="0">
    <w:nsid w:val="52B0667E"/>
    <w:multiLevelType w:val="hybridMultilevel"/>
    <w:tmpl w:val="882809F6"/>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6BD66D4"/>
    <w:multiLevelType w:val="multilevel"/>
    <w:tmpl w:val="246A7B2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9E02014"/>
    <w:multiLevelType w:val="hybridMultilevel"/>
    <w:tmpl w:val="6F384A00"/>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5A2879B9"/>
    <w:multiLevelType w:val="hybridMultilevel"/>
    <w:tmpl w:val="08EA6ECE"/>
    <w:lvl w:ilvl="0" w:tplc="3C0A000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0" w15:restartNumberingAfterBreak="0">
    <w:nsid w:val="60852C4A"/>
    <w:multiLevelType w:val="hybridMultilevel"/>
    <w:tmpl w:val="33D27190"/>
    <w:lvl w:ilvl="0" w:tplc="06D2E11A">
      <w:start w:val="9"/>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6354554E"/>
    <w:multiLevelType w:val="multilevel"/>
    <w:tmpl w:val="874E6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67B27388"/>
    <w:multiLevelType w:val="multilevel"/>
    <w:tmpl w:val="10EA1C58"/>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19441C"/>
    <w:multiLevelType w:val="multilevel"/>
    <w:tmpl w:val="6E80889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9901561"/>
    <w:multiLevelType w:val="multilevel"/>
    <w:tmpl w:val="A53C98E2"/>
    <w:lvl w:ilvl="0">
      <w:start w:val="8"/>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A9A6262"/>
    <w:multiLevelType w:val="multilevel"/>
    <w:tmpl w:val="301E4568"/>
    <w:lvl w:ilvl="0">
      <w:start w:val="1"/>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D3C5D51"/>
    <w:multiLevelType w:val="hybridMultilevel"/>
    <w:tmpl w:val="1CE033AC"/>
    <w:lvl w:ilvl="0" w:tplc="01349198">
      <w:numFmt w:val="bullet"/>
      <w:lvlText w:val=""/>
      <w:lvlJc w:val="left"/>
      <w:pPr>
        <w:ind w:left="720" w:hanging="360"/>
      </w:pPr>
      <w:rPr>
        <w:rFonts w:ascii="Symbol" w:eastAsiaTheme="minorHAnsi" w:hAnsi="Symbol" w:cstheme="minorBid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7" w15:restartNumberingAfterBreak="0">
    <w:nsid w:val="764CAF1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9A91E7F"/>
    <w:multiLevelType w:val="multilevel"/>
    <w:tmpl w:val="30B60EE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5151459">
    <w:abstractNumId w:val="5"/>
  </w:num>
  <w:num w:numId="2" w16cid:durableId="1572932247">
    <w:abstractNumId w:val="2"/>
  </w:num>
  <w:num w:numId="3" w16cid:durableId="1553299711">
    <w:abstractNumId w:val="18"/>
  </w:num>
  <w:num w:numId="4" w16cid:durableId="389500807">
    <w:abstractNumId w:val="1"/>
  </w:num>
  <w:num w:numId="5" w16cid:durableId="1207178605">
    <w:abstractNumId w:val="34"/>
  </w:num>
  <w:num w:numId="6" w16cid:durableId="1012562742">
    <w:abstractNumId w:val="14"/>
  </w:num>
  <w:num w:numId="7" w16cid:durableId="301038805">
    <w:abstractNumId w:val="23"/>
  </w:num>
  <w:num w:numId="8" w16cid:durableId="494153959">
    <w:abstractNumId w:val="21"/>
  </w:num>
  <w:num w:numId="9" w16cid:durableId="112873566">
    <w:abstractNumId w:val="31"/>
  </w:num>
  <w:num w:numId="10" w16cid:durableId="866331741">
    <w:abstractNumId w:val="28"/>
  </w:num>
  <w:num w:numId="11" w16cid:durableId="890773396">
    <w:abstractNumId w:val="0"/>
  </w:num>
  <w:num w:numId="12" w16cid:durableId="1112093248">
    <w:abstractNumId w:val="30"/>
  </w:num>
  <w:num w:numId="13" w16cid:durableId="246500618">
    <w:abstractNumId w:val="3"/>
  </w:num>
  <w:num w:numId="14" w16cid:durableId="1454909669">
    <w:abstractNumId w:val="24"/>
  </w:num>
  <w:num w:numId="15" w16cid:durableId="1852723294">
    <w:abstractNumId w:val="38"/>
  </w:num>
  <w:num w:numId="16" w16cid:durableId="916473389">
    <w:abstractNumId w:val="17"/>
  </w:num>
  <w:num w:numId="17" w16cid:durableId="360714834">
    <w:abstractNumId w:val="20"/>
  </w:num>
  <w:num w:numId="18" w16cid:durableId="1950045053">
    <w:abstractNumId w:val="6"/>
  </w:num>
  <w:num w:numId="19" w16cid:durableId="1324427808">
    <w:abstractNumId w:val="16"/>
  </w:num>
  <w:num w:numId="20" w16cid:durableId="1226181779">
    <w:abstractNumId w:val="13"/>
  </w:num>
  <w:num w:numId="21" w16cid:durableId="2049184324">
    <w:abstractNumId w:val="22"/>
  </w:num>
  <w:num w:numId="22" w16cid:durableId="399837211">
    <w:abstractNumId w:val="36"/>
  </w:num>
  <w:num w:numId="23" w16cid:durableId="1397320173">
    <w:abstractNumId w:val="19"/>
  </w:num>
  <w:num w:numId="24" w16cid:durableId="482701980">
    <w:abstractNumId w:val="27"/>
  </w:num>
  <w:num w:numId="25" w16cid:durableId="1913391218">
    <w:abstractNumId w:val="11"/>
  </w:num>
  <w:num w:numId="26" w16cid:durableId="524682162">
    <w:abstractNumId w:val="32"/>
  </w:num>
  <w:num w:numId="27" w16cid:durableId="603464423">
    <w:abstractNumId w:val="33"/>
  </w:num>
  <w:num w:numId="28" w16cid:durableId="1111122167">
    <w:abstractNumId w:val="12"/>
  </w:num>
  <w:num w:numId="29" w16cid:durableId="2144879875">
    <w:abstractNumId w:val="9"/>
  </w:num>
  <w:num w:numId="30" w16cid:durableId="306859617">
    <w:abstractNumId w:val="4"/>
  </w:num>
  <w:num w:numId="31" w16cid:durableId="438985580">
    <w:abstractNumId w:val="15"/>
  </w:num>
  <w:num w:numId="32" w16cid:durableId="1521314972">
    <w:abstractNumId w:val="7"/>
  </w:num>
  <w:num w:numId="33" w16cid:durableId="1821074670">
    <w:abstractNumId w:val="37"/>
  </w:num>
  <w:num w:numId="34" w16cid:durableId="261233018">
    <w:abstractNumId w:val="8"/>
  </w:num>
  <w:num w:numId="35" w16cid:durableId="102068512">
    <w:abstractNumId w:val="10"/>
  </w:num>
  <w:num w:numId="36" w16cid:durableId="701903334">
    <w:abstractNumId w:val="25"/>
  </w:num>
  <w:num w:numId="37" w16cid:durableId="421032987">
    <w:abstractNumId w:val="26"/>
  </w:num>
  <w:num w:numId="38" w16cid:durableId="1405100664">
    <w:abstractNumId w:val="35"/>
  </w:num>
  <w:num w:numId="39" w16cid:durableId="17465370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D91"/>
    <w:rsid w:val="0000198C"/>
    <w:rsid w:val="00001CC2"/>
    <w:rsid w:val="00020969"/>
    <w:rsid w:val="0002227E"/>
    <w:rsid w:val="0002547F"/>
    <w:rsid w:val="00030D74"/>
    <w:rsid w:val="000373AA"/>
    <w:rsid w:val="000379A2"/>
    <w:rsid w:val="000454FB"/>
    <w:rsid w:val="00050F72"/>
    <w:rsid w:val="00074A5D"/>
    <w:rsid w:val="00075C4C"/>
    <w:rsid w:val="00084043"/>
    <w:rsid w:val="0008477F"/>
    <w:rsid w:val="00090517"/>
    <w:rsid w:val="00097698"/>
    <w:rsid w:val="000A6968"/>
    <w:rsid w:val="000B567E"/>
    <w:rsid w:val="000B6F28"/>
    <w:rsid w:val="000C059A"/>
    <w:rsid w:val="000C11BA"/>
    <w:rsid w:val="000C44C8"/>
    <w:rsid w:val="000C6CF0"/>
    <w:rsid w:val="000C74B3"/>
    <w:rsid w:val="000D0234"/>
    <w:rsid w:val="000D5ECE"/>
    <w:rsid w:val="000D7D17"/>
    <w:rsid w:val="000D7E20"/>
    <w:rsid w:val="000E0B93"/>
    <w:rsid w:val="000E1580"/>
    <w:rsid w:val="000E3FD2"/>
    <w:rsid w:val="000F0D5F"/>
    <w:rsid w:val="000F2332"/>
    <w:rsid w:val="000F7760"/>
    <w:rsid w:val="00100162"/>
    <w:rsid w:val="00106838"/>
    <w:rsid w:val="00106855"/>
    <w:rsid w:val="00106AE2"/>
    <w:rsid w:val="0011681E"/>
    <w:rsid w:val="00117715"/>
    <w:rsid w:val="0012044D"/>
    <w:rsid w:val="0012487C"/>
    <w:rsid w:val="00133FD4"/>
    <w:rsid w:val="00136527"/>
    <w:rsid w:val="00140039"/>
    <w:rsid w:val="001418A2"/>
    <w:rsid w:val="001456FF"/>
    <w:rsid w:val="001532ED"/>
    <w:rsid w:val="0015397B"/>
    <w:rsid w:val="001606BA"/>
    <w:rsid w:val="00165A06"/>
    <w:rsid w:val="00170A47"/>
    <w:rsid w:val="0017130F"/>
    <w:rsid w:val="00172709"/>
    <w:rsid w:val="00176882"/>
    <w:rsid w:val="00177C91"/>
    <w:rsid w:val="00184B57"/>
    <w:rsid w:val="001871F4"/>
    <w:rsid w:val="00195FD0"/>
    <w:rsid w:val="001A09EB"/>
    <w:rsid w:val="001A1665"/>
    <w:rsid w:val="001A34D3"/>
    <w:rsid w:val="001A3B83"/>
    <w:rsid w:val="001A561B"/>
    <w:rsid w:val="001A574D"/>
    <w:rsid w:val="001A5888"/>
    <w:rsid w:val="001B2263"/>
    <w:rsid w:val="001B2937"/>
    <w:rsid w:val="001B3D63"/>
    <w:rsid w:val="001C0BD2"/>
    <w:rsid w:val="001C34F0"/>
    <w:rsid w:val="001D030E"/>
    <w:rsid w:val="001D272E"/>
    <w:rsid w:val="001E11CE"/>
    <w:rsid w:val="001E1ECD"/>
    <w:rsid w:val="001E2B93"/>
    <w:rsid w:val="001E3058"/>
    <w:rsid w:val="001E3C5E"/>
    <w:rsid w:val="001E4274"/>
    <w:rsid w:val="001E5206"/>
    <w:rsid w:val="001E75ED"/>
    <w:rsid w:val="001E7FB0"/>
    <w:rsid w:val="001F11EE"/>
    <w:rsid w:val="001F1724"/>
    <w:rsid w:val="001F20A2"/>
    <w:rsid w:val="001F3660"/>
    <w:rsid w:val="001F5583"/>
    <w:rsid w:val="001F6101"/>
    <w:rsid w:val="002074B6"/>
    <w:rsid w:val="002134BE"/>
    <w:rsid w:val="00215DFA"/>
    <w:rsid w:val="00216E68"/>
    <w:rsid w:val="002242E8"/>
    <w:rsid w:val="00224A1A"/>
    <w:rsid w:val="00233D88"/>
    <w:rsid w:val="00233EB7"/>
    <w:rsid w:val="00235146"/>
    <w:rsid w:val="00243666"/>
    <w:rsid w:val="002436D2"/>
    <w:rsid w:val="00252E65"/>
    <w:rsid w:val="002604D9"/>
    <w:rsid w:val="00260CB8"/>
    <w:rsid w:val="00262425"/>
    <w:rsid w:val="00264347"/>
    <w:rsid w:val="00264CCB"/>
    <w:rsid w:val="00265FBF"/>
    <w:rsid w:val="00267A5F"/>
    <w:rsid w:val="00270BA9"/>
    <w:rsid w:val="0027244B"/>
    <w:rsid w:val="002764E9"/>
    <w:rsid w:val="002776C4"/>
    <w:rsid w:val="00280273"/>
    <w:rsid w:val="00281938"/>
    <w:rsid w:val="0028199C"/>
    <w:rsid w:val="002834E6"/>
    <w:rsid w:val="0028484C"/>
    <w:rsid w:val="00285F83"/>
    <w:rsid w:val="00291D16"/>
    <w:rsid w:val="00292D57"/>
    <w:rsid w:val="002A4E52"/>
    <w:rsid w:val="002B0E6B"/>
    <w:rsid w:val="002B7347"/>
    <w:rsid w:val="002B7CBE"/>
    <w:rsid w:val="002C7F7E"/>
    <w:rsid w:val="002E049D"/>
    <w:rsid w:val="002E1A11"/>
    <w:rsid w:val="002E1A9C"/>
    <w:rsid w:val="002E5A7C"/>
    <w:rsid w:val="002F1F80"/>
    <w:rsid w:val="002F3026"/>
    <w:rsid w:val="002F750C"/>
    <w:rsid w:val="00303602"/>
    <w:rsid w:val="003054D5"/>
    <w:rsid w:val="00311353"/>
    <w:rsid w:val="00311B93"/>
    <w:rsid w:val="00320923"/>
    <w:rsid w:val="00324F4B"/>
    <w:rsid w:val="00326396"/>
    <w:rsid w:val="00336A93"/>
    <w:rsid w:val="00336ED6"/>
    <w:rsid w:val="00336EEF"/>
    <w:rsid w:val="00341909"/>
    <w:rsid w:val="00343A8C"/>
    <w:rsid w:val="00351390"/>
    <w:rsid w:val="00352A1D"/>
    <w:rsid w:val="00356397"/>
    <w:rsid w:val="00360F81"/>
    <w:rsid w:val="00363817"/>
    <w:rsid w:val="0036517F"/>
    <w:rsid w:val="00371523"/>
    <w:rsid w:val="00376F2F"/>
    <w:rsid w:val="003845EE"/>
    <w:rsid w:val="00391143"/>
    <w:rsid w:val="00391D87"/>
    <w:rsid w:val="003960AB"/>
    <w:rsid w:val="003A0710"/>
    <w:rsid w:val="003A1781"/>
    <w:rsid w:val="003A6E50"/>
    <w:rsid w:val="003B0611"/>
    <w:rsid w:val="003B124E"/>
    <w:rsid w:val="003B1566"/>
    <w:rsid w:val="003B5744"/>
    <w:rsid w:val="003B6D4B"/>
    <w:rsid w:val="003B6EE5"/>
    <w:rsid w:val="003C122C"/>
    <w:rsid w:val="003C4FBD"/>
    <w:rsid w:val="003D01B2"/>
    <w:rsid w:val="003E3929"/>
    <w:rsid w:val="003E770F"/>
    <w:rsid w:val="003F0C2E"/>
    <w:rsid w:val="003F36B7"/>
    <w:rsid w:val="003F5E30"/>
    <w:rsid w:val="00411547"/>
    <w:rsid w:val="0041385B"/>
    <w:rsid w:val="004150E0"/>
    <w:rsid w:val="0042098F"/>
    <w:rsid w:val="00424A3E"/>
    <w:rsid w:val="00433823"/>
    <w:rsid w:val="00441229"/>
    <w:rsid w:val="00450104"/>
    <w:rsid w:val="00451D94"/>
    <w:rsid w:val="00452BA3"/>
    <w:rsid w:val="00456A02"/>
    <w:rsid w:val="0046481B"/>
    <w:rsid w:val="00465E76"/>
    <w:rsid w:val="00484CA0"/>
    <w:rsid w:val="00487763"/>
    <w:rsid w:val="004920F3"/>
    <w:rsid w:val="00494357"/>
    <w:rsid w:val="00495DA6"/>
    <w:rsid w:val="004961B0"/>
    <w:rsid w:val="00497B59"/>
    <w:rsid w:val="004A3C79"/>
    <w:rsid w:val="004B36B0"/>
    <w:rsid w:val="004B600C"/>
    <w:rsid w:val="004C1390"/>
    <w:rsid w:val="004C5D56"/>
    <w:rsid w:val="004C7DC5"/>
    <w:rsid w:val="004D003F"/>
    <w:rsid w:val="004D13A5"/>
    <w:rsid w:val="004D7217"/>
    <w:rsid w:val="004E1CDE"/>
    <w:rsid w:val="004E6661"/>
    <w:rsid w:val="004F0B6D"/>
    <w:rsid w:val="004F38F5"/>
    <w:rsid w:val="004F75AC"/>
    <w:rsid w:val="005007BC"/>
    <w:rsid w:val="005066F0"/>
    <w:rsid w:val="00513304"/>
    <w:rsid w:val="00517046"/>
    <w:rsid w:val="00522EF0"/>
    <w:rsid w:val="005412DA"/>
    <w:rsid w:val="005423BA"/>
    <w:rsid w:val="00542FB4"/>
    <w:rsid w:val="005430D5"/>
    <w:rsid w:val="005447FD"/>
    <w:rsid w:val="005448D5"/>
    <w:rsid w:val="005471D6"/>
    <w:rsid w:val="005503CC"/>
    <w:rsid w:val="005564BB"/>
    <w:rsid w:val="005575D6"/>
    <w:rsid w:val="00557A06"/>
    <w:rsid w:val="00560F24"/>
    <w:rsid w:val="00561673"/>
    <w:rsid w:val="005712DB"/>
    <w:rsid w:val="0057164E"/>
    <w:rsid w:val="00581E5B"/>
    <w:rsid w:val="00586FEA"/>
    <w:rsid w:val="00591675"/>
    <w:rsid w:val="00594DE2"/>
    <w:rsid w:val="00595BCF"/>
    <w:rsid w:val="005A432E"/>
    <w:rsid w:val="005A50EF"/>
    <w:rsid w:val="005A6BF6"/>
    <w:rsid w:val="005A7FC5"/>
    <w:rsid w:val="005B0E3D"/>
    <w:rsid w:val="005B2226"/>
    <w:rsid w:val="005B6996"/>
    <w:rsid w:val="005B706E"/>
    <w:rsid w:val="005C701E"/>
    <w:rsid w:val="005C78D8"/>
    <w:rsid w:val="005C7AAB"/>
    <w:rsid w:val="005D1F38"/>
    <w:rsid w:val="005D4335"/>
    <w:rsid w:val="005D66A0"/>
    <w:rsid w:val="005E46BC"/>
    <w:rsid w:val="005E4EDD"/>
    <w:rsid w:val="005F1C14"/>
    <w:rsid w:val="005F1F2C"/>
    <w:rsid w:val="005F4E97"/>
    <w:rsid w:val="005F51C6"/>
    <w:rsid w:val="005F6E9C"/>
    <w:rsid w:val="006049C5"/>
    <w:rsid w:val="00610C0A"/>
    <w:rsid w:val="00616647"/>
    <w:rsid w:val="00616BC8"/>
    <w:rsid w:val="00617BB1"/>
    <w:rsid w:val="00620952"/>
    <w:rsid w:val="00621B19"/>
    <w:rsid w:val="00623490"/>
    <w:rsid w:val="006242BA"/>
    <w:rsid w:val="00625E31"/>
    <w:rsid w:val="00634364"/>
    <w:rsid w:val="006369BE"/>
    <w:rsid w:val="006418FC"/>
    <w:rsid w:val="00644A1B"/>
    <w:rsid w:val="00645A28"/>
    <w:rsid w:val="00651F67"/>
    <w:rsid w:val="00657D4E"/>
    <w:rsid w:val="00660F99"/>
    <w:rsid w:val="00665B5B"/>
    <w:rsid w:val="006709C7"/>
    <w:rsid w:val="006729BC"/>
    <w:rsid w:val="00673DCB"/>
    <w:rsid w:val="00674BB1"/>
    <w:rsid w:val="0067525C"/>
    <w:rsid w:val="0067606A"/>
    <w:rsid w:val="00681C35"/>
    <w:rsid w:val="006860D9"/>
    <w:rsid w:val="006B0404"/>
    <w:rsid w:val="006B472F"/>
    <w:rsid w:val="006B7DBA"/>
    <w:rsid w:val="006C3D49"/>
    <w:rsid w:val="006D0486"/>
    <w:rsid w:val="006D0C42"/>
    <w:rsid w:val="006D22FA"/>
    <w:rsid w:val="006E18B6"/>
    <w:rsid w:val="006E665B"/>
    <w:rsid w:val="006F2C10"/>
    <w:rsid w:val="006F4390"/>
    <w:rsid w:val="006F5FAC"/>
    <w:rsid w:val="006F726A"/>
    <w:rsid w:val="00706D18"/>
    <w:rsid w:val="00711B6D"/>
    <w:rsid w:val="007169F2"/>
    <w:rsid w:val="007233C6"/>
    <w:rsid w:val="007239D4"/>
    <w:rsid w:val="00723A27"/>
    <w:rsid w:val="00725B68"/>
    <w:rsid w:val="00732A27"/>
    <w:rsid w:val="00740C93"/>
    <w:rsid w:val="0074105A"/>
    <w:rsid w:val="00743038"/>
    <w:rsid w:val="00743F16"/>
    <w:rsid w:val="0074409A"/>
    <w:rsid w:val="00756DF3"/>
    <w:rsid w:val="00762EF8"/>
    <w:rsid w:val="007712B0"/>
    <w:rsid w:val="00771C2B"/>
    <w:rsid w:val="007771BF"/>
    <w:rsid w:val="0078697A"/>
    <w:rsid w:val="00786C76"/>
    <w:rsid w:val="007950CC"/>
    <w:rsid w:val="00795C18"/>
    <w:rsid w:val="00797253"/>
    <w:rsid w:val="00797780"/>
    <w:rsid w:val="007A0064"/>
    <w:rsid w:val="007A302F"/>
    <w:rsid w:val="007A3DC7"/>
    <w:rsid w:val="007A632F"/>
    <w:rsid w:val="007A6E03"/>
    <w:rsid w:val="007B0494"/>
    <w:rsid w:val="007B491A"/>
    <w:rsid w:val="007D06A4"/>
    <w:rsid w:val="007D3554"/>
    <w:rsid w:val="007D7112"/>
    <w:rsid w:val="007E08EB"/>
    <w:rsid w:val="007E3FA4"/>
    <w:rsid w:val="007E5D96"/>
    <w:rsid w:val="007E6FC5"/>
    <w:rsid w:val="007F2E44"/>
    <w:rsid w:val="007F68F8"/>
    <w:rsid w:val="00803DB7"/>
    <w:rsid w:val="0080416F"/>
    <w:rsid w:val="008065F6"/>
    <w:rsid w:val="00807F6E"/>
    <w:rsid w:val="00814835"/>
    <w:rsid w:val="0081530E"/>
    <w:rsid w:val="00817490"/>
    <w:rsid w:val="00827B49"/>
    <w:rsid w:val="008320E1"/>
    <w:rsid w:val="00833624"/>
    <w:rsid w:val="008336B4"/>
    <w:rsid w:val="00836C24"/>
    <w:rsid w:val="00845646"/>
    <w:rsid w:val="00851D00"/>
    <w:rsid w:val="00852FE7"/>
    <w:rsid w:val="00854675"/>
    <w:rsid w:val="00856A06"/>
    <w:rsid w:val="0086390A"/>
    <w:rsid w:val="008754F7"/>
    <w:rsid w:val="008802DB"/>
    <w:rsid w:val="0088140F"/>
    <w:rsid w:val="00887A8C"/>
    <w:rsid w:val="008915B6"/>
    <w:rsid w:val="008921CD"/>
    <w:rsid w:val="00896CF3"/>
    <w:rsid w:val="00897EBE"/>
    <w:rsid w:val="008A12A0"/>
    <w:rsid w:val="008A1CE8"/>
    <w:rsid w:val="008A3E47"/>
    <w:rsid w:val="008B3E96"/>
    <w:rsid w:val="008B644B"/>
    <w:rsid w:val="008B65FD"/>
    <w:rsid w:val="008C3772"/>
    <w:rsid w:val="008C72B3"/>
    <w:rsid w:val="008D35B4"/>
    <w:rsid w:val="008D3C37"/>
    <w:rsid w:val="008D7D90"/>
    <w:rsid w:val="008E3826"/>
    <w:rsid w:val="008E6102"/>
    <w:rsid w:val="008F033E"/>
    <w:rsid w:val="008F7540"/>
    <w:rsid w:val="00903AA7"/>
    <w:rsid w:val="00904A3F"/>
    <w:rsid w:val="0091006C"/>
    <w:rsid w:val="00915451"/>
    <w:rsid w:val="00915513"/>
    <w:rsid w:val="00923414"/>
    <w:rsid w:val="00924806"/>
    <w:rsid w:val="0092720F"/>
    <w:rsid w:val="009305E7"/>
    <w:rsid w:val="009306AB"/>
    <w:rsid w:val="00936C93"/>
    <w:rsid w:val="009514E9"/>
    <w:rsid w:val="009534E9"/>
    <w:rsid w:val="00954277"/>
    <w:rsid w:val="00955FE7"/>
    <w:rsid w:val="009619E7"/>
    <w:rsid w:val="009834A4"/>
    <w:rsid w:val="009849A4"/>
    <w:rsid w:val="009934D9"/>
    <w:rsid w:val="00993E99"/>
    <w:rsid w:val="00994EF7"/>
    <w:rsid w:val="009967F6"/>
    <w:rsid w:val="009A1311"/>
    <w:rsid w:val="009A3818"/>
    <w:rsid w:val="009A598F"/>
    <w:rsid w:val="009A7580"/>
    <w:rsid w:val="009B2C81"/>
    <w:rsid w:val="009B769A"/>
    <w:rsid w:val="009C09B6"/>
    <w:rsid w:val="009C1C22"/>
    <w:rsid w:val="009C4C50"/>
    <w:rsid w:val="009C55FB"/>
    <w:rsid w:val="009C62BC"/>
    <w:rsid w:val="009C69EE"/>
    <w:rsid w:val="009D6264"/>
    <w:rsid w:val="009D6294"/>
    <w:rsid w:val="009D749D"/>
    <w:rsid w:val="009E23A3"/>
    <w:rsid w:val="009E50C2"/>
    <w:rsid w:val="009F19FE"/>
    <w:rsid w:val="009F505A"/>
    <w:rsid w:val="00A03A5F"/>
    <w:rsid w:val="00A042FC"/>
    <w:rsid w:val="00A07CB5"/>
    <w:rsid w:val="00A15194"/>
    <w:rsid w:val="00A1663F"/>
    <w:rsid w:val="00A223A3"/>
    <w:rsid w:val="00A233A5"/>
    <w:rsid w:val="00A26575"/>
    <w:rsid w:val="00A41BD5"/>
    <w:rsid w:val="00A42448"/>
    <w:rsid w:val="00A4493F"/>
    <w:rsid w:val="00A50669"/>
    <w:rsid w:val="00A51E0F"/>
    <w:rsid w:val="00A54E7D"/>
    <w:rsid w:val="00A62E94"/>
    <w:rsid w:val="00A74459"/>
    <w:rsid w:val="00A75C8A"/>
    <w:rsid w:val="00A77A89"/>
    <w:rsid w:val="00A80E00"/>
    <w:rsid w:val="00A84153"/>
    <w:rsid w:val="00A91F12"/>
    <w:rsid w:val="00AB2452"/>
    <w:rsid w:val="00AC39C8"/>
    <w:rsid w:val="00AC42D3"/>
    <w:rsid w:val="00AC503A"/>
    <w:rsid w:val="00AD1580"/>
    <w:rsid w:val="00AD2076"/>
    <w:rsid w:val="00AD4B3F"/>
    <w:rsid w:val="00AD7B83"/>
    <w:rsid w:val="00AF2C6A"/>
    <w:rsid w:val="00AF30BC"/>
    <w:rsid w:val="00AF4522"/>
    <w:rsid w:val="00AF4AF6"/>
    <w:rsid w:val="00AF63FA"/>
    <w:rsid w:val="00AF787C"/>
    <w:rsid w:val="00B02060"/>
    <w:rsid w:val="00B071DE"/>
    <w:rsid w:val="00B07AB7"/>
    <w:rsid w:val="00B07FB0"/>
    <w:rsid w:val="00B1027E"/>
    <w:rsid w:val="00B12F99"/>
    <w:rsid w:val="00B13A93"/>
    <w:rsid w:val="00B206CE"/>
    <w:rsid w:val="00B21372"/>
    <w:rsid w:val="00B21CBE"/>
    <w:rsid w:val="00B237C8"/>
    <w:rsid w:val="00B23E62"/>
    <w:rsid w:val="00B33AA3"/>
    <w:rsid w:val="00B34EB2"/>
    <w:rsid w:val="00B40FBD"/>
    <w:rsid w:val="00B55827"/>
    <w:rsid w:val="00B60FC7"/>
    <w:rsid w:val="00B66BBE"/>
    <w:rsid w:val="00B705D2"/>
    <w:rsid w:val="00B74B85"/>
    <w:rsid w:val="00B834DF"/>
    <w:rsid w:val="00B87F07"/>
    <w:rsid w:val="00B97BDC"/>
    <w:rsid w:val="00B97C15"/>
    <w:rsid w:val="00BA0AE5"/>
    <w:rsid w:val="00BA1373"/>
    <w:rsid w:val="00BA14C5"/>
    <w:rsid w:val="00BA18F3"/>
    <w:rsid w:val="00BA4023"/>
    <w:rsid w:val="00BA5F77"/>
    <w:rsid w:val="00BA620F"/>
    <w:rsid w:val="00BB49DE"/>
    <w:rsid w:val="00BB56D8"/>
    <w:rsid w:val="00BB7EB7"/>
    <w:rsid w:val="00BC7E5A"/>
    <w:rsid w:val="00BD1639"/>
    <w:rsid w:val="00BD3D91"/>
    <w:rsid w:val="00BD4B64"/>
    <w:rsid w:val="00BD4F9B"/>
    <w:rsid w:val="00BD77FE"/>
    <w:rsid w:val="00BE0337"/>
    <w:rsid w:val="00BE03D6"/>
    <w:rsid w:val="00BE60CD"/>
    <w:rsid w:val="00BF2320"/>
    <w:rsid w:val="00BF4089"/>
    <w:rsid w:val="00BF519F"/>
    <w:rsid w:val="00C022F1"/>
    <w:rsid w:val="00C0414F"/>
    <w:rsid w:val="00C04F87"/>
    <w:rsid w:val="00C104AB"/>
    <w:rsid w:val="00C215C2"/>
    <w:rsid w:val="00C228AE"/>
    <w:rsid w:val="00C24E88"/>
    <w:rsid w:val="00C276B9"/>
    <w:rsid w:val="00C37ECD"/>
    <w:rsid w:val="00C44B8C"/>
    <w:rsid w:val="00C5232F"/>
    <w:rsid w:val="00C53380"/>
    <w:rsid w:val="00C53987"/>
    <w:rsid w:val="00C56EAA"/>
    <w:rsid w:val="00C61AAF"/>
    <w:rsid w:val="00C6223B"/>
    <w:rsid w:val="00C62877"/>
    <w:rsid w:val="00C6334D"/>
    <w:rsid w:val="00C70B12"/>
    <w:rsid w:val="00C70FA0"/>
    <w:rsid w:val="00C71112"/>
    <w:rsid w:val="00C71260"/>
    <w:rsid w:val="00C95859"/>
    <w:rsid w:val="00C96B66"/>
    <w:rsid w:val="00C97CC0"/>
    <w:rsid w:val="00CC00E6"/>
    <w:rsid w:val="00CC2C6E"/>
    <w:rsid w:val="00CC51FA"/>
    <w:rsid w:val="00CC64F0"/>
    <w:rsid w:val="00CD0EA9"/>
    <w:rsid w:val="00CD1191"/>
    <w:rsid w:val="00CD1C71"/>
    <w:rsid w:val="00CD3281"/>
    <w:rsid w:val="00CD439A"/>
    <w:rsid w:val="00CD65A8"/>
    <w:rsid w:val="00CE2F8D"/>
    <w:rsid w:val="00CE3836"/>
    <w:rsid w:val="00CF42A0"/>
    <w:rsid w:val="00CF5D34"/>
    <w:rsid w:val="00D008F5"/>
    <w:rsid w:val="00D12F50"/>
    <w:rsid w:val="00D1766A"/>
    <w:rsid w:val="00D17761"/>
    <w:rsid w:val="00D27F39"/>
    <w:rsid w:val="00D3218C"/>
    <w:rsid w:val="00D37DD8"/>
    <w:rsid w:val="00D37EFE"/>
    <w:rsid w:val="00D43443"/>
    <w:rsid w:val="00D43C17"/>
    <w:rsid w:val="00D43DFB"/>
    <w:rsid w:val="00D47495"/>
    <w:rsid w:val="00D51C69"/>
    <w:rsid w:val="00D629C5"/>
    <w:rsid w:val="00D67267"/>
    <w:rsid w:val="00D700F3"/>
    <w:rsid w:val="00D70344"/>
    <w:rsid w:val="00D72C32"/>
    <w:rsid w:val="00D755FD"/>
    <w:rsid w:val="00D76C5D"/>
    <w:rsid w:val="00D8058F"/>
    <w:rsid w:val="00D83F0A"/>
    <w:rsid w:val="00D923B8"/>
    <w:rsid w:val="00DA1CD1"/>
    <w:rsid w:val="00DB285C"/>
    <w:rsid w:val="00DB4428"/>
    <w:rsid w:val="00DB5293"/>
    <w:rsid w:val="00DB572D"/>
    <w:rsid w:val="00DB57BF"/>
    <w:rsid w:val="00DC6542"/>
    <w:rsid w:val="00DD1531"/>
    <w:rsid w:val="00DD1562"/>
    <w:rsid w:val="00DD1897"/>
    <w:rsid w:val="00DD2636"/>
    <w:rsid w:val="00DD55D0"/>
    <w:rsid w:val="00DE19D4"/>
    <w:rsid w:val="00DE2782"/>
    <w:rsid w:val="00DE2D7D"/>
    <w:rsid w:val="00DF42AF"/>
    <w:rsid w:val="00E0285A"/>
    <w:rsid w:val="00E02A36"/>
    <w:rsid w:val="00E034A3"/>
    <w:rsid w:val="00E06C29"/>
    <w:rsid w:val="00E07627"/>
    <w:rsid w:val="00E1495A"/>
    <w:rsid w:val="00E14B65"/>
    <w:rsid w:val="00E161F7"/>
    <w:rsid w:val="00E2029D"/>
    <w:rsid w:val="00E254C2"/>
    <w:rsid w:val="00E35C19"/>
    <w:rsid w:val="00E466F1"/>
    <w:rsid w:val="00E53320"/>
    <w:rsid w:val="00E53520"/>
    <w:rsid w:val="00E53C4B"/>
    <w:rsid w:val="00E54CCA"/>
    <w:rsid w:val="00E55883"/>
    <w:rsid w:val="00E6099F"/>
    <w:rsid w:val="00E61CD1"/>
    <w:rsid w:val="00E64343"/>
    <w:rsid w:val="00E6530A"/>
    <w:rsid w:val="00E70827"/>
    <w:rsid w:val="00E70A2C"/>
    <w:rsid w:val="00E73439"/>
    <w:rsid w:val="00E7503F"/>
    <w:rsid w:val="00E83348"/>
    <w:rsid w:val="00E847AA"/>
    <w:rsid w:val="00E863EC"/>
    <w:rsid w:val="00E91485"/>
    <w:rsid w:val="00E92B05"/>
    <w:rsid w:val="00E93096"/>
    <w:rsid w:val="00E9457F"/>
    <w:rsid w:val="00E960FE"/>
    <w:rsid w:val="00EA01E6"/>
    <w:rsid w:val="00EA03E4"/>
    <w:rsid w:val="00EA0737"/>
    <w:rsid w:val="00EA2250"/>
    <w:rsid w:val="00EA25F9"/>
    <w:rsid w:val="00EA47C0"/>
    <w:rsid w:val="00EC733F"/>
    <w:rsid w:val="00ED036F"/>
    <w:rsid w:val="00ED530D"/>
    <w:rsid w:val="00ED613E"/>
    <w:rsid w:val="00ED6459"/>
    <w:rsid w:val="00EE1254"/>
    <w:rsid w:val="00EE3DE5"/>
    <w:rsid w:val="00EE465D"/>
    <w:rsid w:val="00EE7AEC"/>
    <w:rsid w:val="00EF1169"/>
    <w:rsid w:val="00EF698C"/>
    <w:rsid w:val="00F005ED"/>
    <w:rsid w:val="00F009E0"/>
    <w:rsid w:val="00F0134C"/>
    <w:rsid w:val="00F02E98"/>
    <w:rsid w:val="00F04F83"/>
    <w:rsid w:val="00F17DA0"/>
    <w:rsid w:val="00F21797"/>
    <w:rsid w:val="00F24445"/>
    <w:rsid w:val="00F334BC"/>
    <w:rsid w:val="00F356D2"/>
    <w:rsid w:val="00F414FB"/>
    <w:rsid w:val="00F41849"/>
    <w:rsid w:val="00F436F7"/>
    <w:rsid w:val="00F45D9F"/>
    <w:rsid w:val="00F5001B"/>
    <w:rsid w:val="00F563CA"/>
    <w:rsid w:val="00F56708"/>
    <w:rsid w:val="00F611B2"/>
    <w:rsid w:val="00F65501"/>
    <w:rsid w:val="00F71EC1"/>
    <w:rsid w:val="00F7459B"/>
    <w:rsid w:val="00F757DA"/>
    <w:rsid w:val="00F82F36"/>
    <w:rsid w:val="00F85ED5"/>
    <w:rsid w:val="00F86CAC"/>
    <w:rsid w:val="00F933AE"/>
    <w:rsid w:val="00F953FF"/>
    <w:rsid w:val="00FA0B4A"/>
    <w:rsid w:val="00FA100B"/>
    <w:rsid w:val="00FA23BA"/>
    <w:rsid w:val="00FA4463"/>
    <w:rsid w:val="00FA71F7"/>
    <w:rsid w:val="00FB075D"/>
    <w:rsid w:val="00FD08B9"/>
    <w:rsid w:val="00FD5B68"/>
    <w:rsid w:val="00FD5C8D"/>
    <w:rsid w:val="00FE1A8E"/>
    <w:rsid w:val="00FE2C36"/>
    <w:rsid w:val="00FE779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95AE"/>
  <w15:docId w15:val="{C96AD090-E268-48F6-BB3A-A7BF6E31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 w:eastAsia="es-PY"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7F68F8"/>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7F68F8"/>
  </w:style>
  <w:style w:type="paragraph" w:styleId="Piedepgina">
    <w:name w:val="footer"/>
    <w:basedOn w:val="Normal"/>
    <w:link w:val="PiedepginaCar"/>
    <w:uiPriority w:val="99"/>
    <w:unhideWhenUsed/>
    <w:rsid w:val="007F68F8"/>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7F68F8"/>
  </w:style>
  <w:style w:type="character" w:styleId="Refdecomentario">
    <w:name w:val="annotation reference"/>
    <w:basedOn w:val="Fuentedeprrafopredeter"/>
    <w:uiPriority w:val="99"/>
    <w:semiHidden/>
    <w:unhideWhenUsed/>
    <w:rsid w:val="00E70A2C"/>
    <w:rPr>
      <w:sz w:val="16"/>
      <w:szCs w:val="16"/>
    </w:rPr>
  </w:style>
  <w:style w:type="paragraph" w:styleId="Textocomentario">
    <w:name w:val="annotation text"/>
    <w:basedOn w:val="Normal"/>
    <w:link w:val="TextocomentarioCar"/>
    <w:uiPriority w:val="99"/>
    <w:unhideWhenUsed/>
    <w:rsid w:val="00E70A2C"/>
    <w:pPr>
      <w:spacing w:line="240" w:lineRule="auto"/>
    </w:pPr>
    <w:rPr>
      <w:sz w:val="20"/>
      <w:szCs w:val="20"/>
    </w:rPr>
  </w:style>
  <w:style w:type="character" w:customStyle="1" w:styleId="TextocomentarioCar">
    <w:name w:val="Texto comentario Car"/>
    <w:basedOn w:val="Fuentedeprrafopredeter"/>
    <w:link w:val="Textocomentario"/>
    <w:uiPriority w:val="99"/>
    <w:rsid w:val="00E70A2C"/>
    <w:rPr>
      <w:sz w:val="20"/>
      <w:szCs w:val="20"/>
    </w:rPr>
  </w:style>
  <w:style w:type="paragraph" w:styleId="Asuntodelcomentario">
    <w:name w:val="annotation subject"/>
    <w:basedOn w:val="Textocomentario"/>
    <w:next w:val="Textocomentario"/>
    <w:link w:val="AsuntodelcomentarioCar"/>
    <w:uiPriority w:val="99"/>
    <w:semiHidden/>
    <w:unhideWhenUsed/>
    <w:rsid w:val="00E70A2C"/>
    <w:rPr>
      <w:b/>
      <w:bCs/>
    </w:rPr>
  </w:style>
  <w:style w:type="character" w:customStyle="1" w:styleId="AsuntodelcomentarioCar">
    <w:name w:val="Asunto del comentario Car"/>
    <w:basedOn w:val="TextocomentarioCar"/>
    <w:link w:val="Asuntodelcomentario"/>
    <w:uiPriority w:val="99"/>
    <w:semiHidden/>
    <w:rsid w:val="00E70A2C"/>
    <w:rPr>
      <w:b/>
      <w:bCs/>
      <w:sz w:val="20"/>
      <w:szCs w:val="20"/>
    </w:rPr>
  </w:style>
  <w:style w:type="paragraph" w:customStyle="1" w:styleId="Default">
    <w:name w:val="Default"/>
    <w:rsid w:val="0042098F"/>
    <w:pPr>
      <w:autoSpaceDE w:val="0"/>
      <w:autoSpaceDN w:val="0"/>
      <w:adjustRightInd w:val="0"/>
      <w:spacing w:line="240" w:lineRule="auto"/>
    </w:pPr>
    <w:rPr>
      <w:rFonts w:ascii="Times New Roman" w:hAnsi="Times New Roman" w:cs="Times New Roman"/>
      <w:color w:val="000000"/>
      <w:sz w:val="24"/>
      <w:szCs w:val="24"/>
      <w:lang w:val="es-PY"/>
    </w:rPr>
  </w:style>
  <w:style w:type="paragraph" w:styleId="Prrafodelista">
    <w:name w:val="List Paragraph"/>
    <w:basedOn w:val="Normal"/>
    <w:uiPriority w:val="34"/>
    <w:qFormat/>
    <w:rsid w:val="00C04F87"/>
    <w:pPr>
      <w:spacing w:before="120" w:after="120"/>
      <w:ind w:left="720"/>
      <w:contextualSpacing/>
    </w:pPr>
  </w:style>
  <w:style w:type="paragraph" w:styleId="Textodeglobo">
    <w:name w:val="Balloon Text"/>
    <w:basedOn w:val="Normal"/>
    <w:link w:val="TextodegloboCar"/>
    <w:uiPriority w:val="99"/>
    <w:semiHidden/>
    <w:unhideWhenUsed/>
    <w:rsid w:val="0012044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2044D"/>
    <w:rPr>
      <w:rFonts w:ascii="Segoe UI" w:hAnsi="Segoe UI" w:cs="Segoe UI"/>
      <w:sz w:val="18"/>
      <w:szCs w:val="18"/>
    </w:rPr>
  </w:style>
  <w:style w:type="paragraph" w:styleId="Revisin">
    <w:name w:val="Revision"/>
    <w:hidden/>
    <w:uiPriority w:val="99"/>
    <w:semiHidden/>
    <w:rsid w:val="008A1CE8"/>
    <w:pPr>
      <w:spacing w:line="240" w:lineRule="auto"/>
    </w:pPr>
  </w:style>
  <w:style w:type="table" w:styleId="Tablaconcuadrcula">
    <w:name w:val="Table Grid"/>
    <w:basedOn w:val="Tablanormal"/>
    <w:uiPriority w:val="39"/>
    <w:rsid w:val="00CD0EA9"/>
    <w:pPr>
      <w:spacing w:line="240" w:lineRule="auto"/>
    </w:pPr>
    <w:rPr>
      <w:rFonts w:asciiTheme="minorHAnsi" w:eastAsiaTheme="minorHAnsi" w:hAnsiTheme="minorHAnsi" w:cstheme="minorBidi"/>
      <w:kern w:val="2"/>
      <w:lang w:val="es-PY"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5E46BC"/>
    <w:rPr>
      <w:color w:val="808080"/>
    </w:rPr>
  </w:style>
  <w:style w:type="numbering" w:customStyle="1" w:styleId="Listaactual1">
    <w:name w:val="Lista actual1"/>
    <w:uiPriority w:val="99"/>
    <w:rsid w:val="00CF42A0"/>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49CB8EF7-AF69-4A3C-988A-CE19DF655FCC}"/>
      </w:docPartPr>
      <w:docPartBody>
        <w:p w:rsidR="00517713" w:rsidRDefault="003A4552">
          <w:r w:rsidRPr="00AC6D5F">
            <w:rPr>
              <w:rStyle w:val="Textodelmarcadordeposicin"/>
            </w:rPr>
            <w:t>Haga clic o pulse aquí para escribir texto.</w:t>
          </w:r>
        </w:p>
      </w:docPartBody>
    </w:docPart>
    <w:docPart>
      <w:docPartPr>
        <w:name w:val="DCB67D0CAD3F4E318D551CA8C15F47C9"/>
        <w:category>
          <w:name w:val="General"/>
          <w:gallery w:val="placeholder"/>
        </w:category>
        <w:types>
          <w:type w:val="bbPlcHdr"/>
        </w:types>
        <w:behaviors>
          <w:behavior w:val="content"/>
        </w:behaviors>
        <w:guid w:val="{80915F9D-1F86-4688-89E3-F32A6074A9B2}"/>
      </w:docPartPr>
      <w:docPartBody>
        <w:p w:rsidR="002C3D9D" w:rsidRDefault="00DD478B" w:rsidP="00DD478B">
          <w:pPr>
            <w:pStyle w:val="DCB67D0CAD3F4E318D551CA8C15F47C92"/>
          </w:pPr>
          <w:r w:rsidRPr="002B0E6B">
            <w:rPr>
              <w:rStyle w:val="Textodelmarcadordeposicin"/>
              <w:rFonts w:ascii="BaskervilleT" w:hAnsi="BaskervilleT"/>
              <w:sz w:val="24"/>
              <w:szCs w:val="24"/>
            </w:rPr>
            <w:t>Elija un elemento.</w:t>
          </w:r>
        </w:p>
      </w:docPartBody>
    </w:docPart>
    <w:docPart>
      <w:docPartPr>
        <w:name w:val="C2653CB107654D9C89AC4442F851D669"/>
        <w:category>
          <w:name w:val="General"/>
          <w:gallery w:val="placeholder"/>
        </w:category>
        <w:types>
          <w:type w:val="bbPlcHdr"/>
        </w:types>
        <w:behaviors>
          <w:behavior w:val="content"/>
        </w:behaviors>
        <w:guid w:val="{F1A7E1C2-9804-4CC3-BB8C-7D8FF2134CE6}"/>
      </w:docPartPr>
      <w:docPartBody>
        <w:p w:rsidR="002C3D9D" w:rsidRDefault="00DD478B" w:rsidP="00DD478B">
          <w:pPr>
            <w:pStyle w:val="C2653CB107654D9C89AC4442F851D6692"/>
          </w:pPr>
          <w:r w:rsidRPr="002B0E6B">
            <w:rPr>
              <w:rStyle w:val="Textodelmarcadordeposicin"/>
              <w:rFonts w:ascii="BaskervilleT" w:hAnsi="BaskervilleT"/>
              <w:sz w:val="24"/>
              <w:szCs w:val="24"/>
            </w:rPr>
            <w:t>Elija un elemento.</w:t>
          </w:r>
        </w:p>
      </w:docPartBody>
    </w:docPart>
    <w:docPart>
      <w:docPartPr>
        <w:name w:val="EC54F067B4CD4EB59AC8803906370DE6"/>
        <w:category>
          <w:name w:val="General"/>
          <w:gallery w:val="placeholder"/>
        </w:category>
        <w:types>
          <w:type w:val="bbPlcHdr"/>
        </w:types>
        <w:behaviors>
          <w:behavior w:val="content"/>
        </w:behaviors>
        <w:guid w:val="{D798C10F-19BA-4EC4-9AC0-5033CB8514A9}"/>
      </w:docPartPr>
      <w:docPartBody>
        <w:p w:rsidR="002C3D9D" w:rsidRDefault="00DD478B" w:rsidP="00DD478B">
          <w:pPr>
            <w:pStyle w:val="EC54F067B4CD4EB59AC8803906370DE62"/>
          </w:pPr>
          <w:r w:rsidRPr="002B0E6B">
            <w:rPr>
              <w:rStyle w:val="Textodelmarcadordeposicin"/>
              <w:rFonts w:ascii="BaskervilleT" w:hAnsi="BaskervilleT"/>
              <w:sz w:val="24"/>
              <w:szCs w:val="24"/>
            </w:rPr>
            <w:t>Elija un elemento.</w:t>
          </w:r>
        </w:p>
      </w:docPartBody>
    </w:docPart>
    <w:docPart>
      <w:docPartPr>
        <w:name w:val="B4B43F6CB6FC49158933F762155BD5EA"/>
        <w:category>
          <w:name w:val="General"/>
          <w:gallery w:val="placeholder"/>
        </w:category>
        <w:types>
          <w:type w:val="bbPlcHdr"/>
        </w:types>
        <w:behaviors>
          <w:behavior w:val="content"/>
        </w:behaviors>
        <w:guid w:val="{523B2B0D-5A6F-47FC-9F4E-5349A87192AA}"/>
      </w:docPartPr>
      <w:docPartBody>
        <w:p w:rsidR="002C3D9D" w:rsidRDefault="00DD478B" w:rsidP="00DD478B">
          <w:pPr>
            <w:pStyle w:val="B4B43F6CB6FC49158933F762155BD5EA2"/>
          </w:pPr>
          <w:r w:rsidRPr="002B0E6B">
            <w:rPr>
              <w:rStyle w:val="Textodelmarcadordeposicin"/>
              <w:rFonts w:ascii="BaskervilleT" w:hAnsi="BaskervilleT"/>
              <w:sz w:val="24"/>
              <w:szCs w:val="24"/>
            </w:rPr>
            <w:t>Elija un elemento.</w:t>
          </w:r>
        </w:p>
      </w:docPartBody>
    </w:docPart>
    <w:docPart>
      <w:docPartPr>
        <w:name w:val="F8D31A13EBFC40EDA213B9F82EC5020C"/>
        <w:category>
          <w:name w:val="General"/>
          <w:gallery w:val="placeholder"/>
        </w:category>
        <w:types>
          <w:type w:val="bbPlcHdr"/>
        </w:types>
        <w:behaviors>
          <w:behavior w:val="content"/>
        </w:behaviors>
        <w:guid w:val="{D9F0AB2F-6FCF-4802-8E7F-A3CC0CAAD62C}"/>
      </w:docPartPr>
      <w:docPartBody>
        <w:p w:rsidR="002C3D9D" w:rsidRDefault="00DD478B" w:rsidP="00DD478B">
          <w:pPr>
            <w:pStyle w:val="F8D31A13EBFC40EDA213B9F82EC5020C2"/>
          </w:pPr>
          <w:r w:rsidRPr="002B0E6B">
            <w:rPr>
              <w:rStyle w:val="Textodelmarcadordeposicin"/>
              <w:rFonts w:ascii="BaskervilleT" w:hAnsi="BaskervilleT"/>
              <w:sz w:val="24"/>
              <w:szCs w:val="24"/>
            </w:rPr>
            <w:t>Elija un elemento.</w:t>
          </w:r>
        </w:p>
      </w:docPartBody>
    </w:docPart>
    <w:docPart>
      <w:docPartPr>
        <w:name w:val="8375E3F6C31D420680E419D49D116C3D"/>
        <w:category>
          <w:name w:val="General"/>
          <w:gallery w:val="placeholder"/>
        </w:category>
        <w:types>
          <w:type w:val="bbPlcHdr"/>
        </w:types>
        <w:behaviors>
          <w:behavior w:val="content"/>
        </w:behaviors>
        <w:guid w:val="{A2016176-9EAB-4CA6-8199-0596880C1EBF}"/>
      </w:docPartPr>
      <w:docPartBody>
        <w:p w:rsidR="002C3D9D" w:rsidRDefault="00DD478B" w:rsidP="00DD478B">
          <w:pPr>
            <w:pStyle w:val="8375E3F6C31D420680E419D49D116C3D2"/>
          </w:pPr>
          <w:r w:rsidRPr="002B0E6B">
            <w:rPr>
              <w:rStyle w:val="Textodelmarcadordeposicin"/>
              <w:rFonts w:ascii="BaskervilleT" w:hAnsi="BaskervilleT"/>
              <w:sz w:val="24"/>
              <w:szCs w:val="24"/>
            </w:rPr>
            <w:t>Elija un elemento.</w:t>
          </w:r>
        </w:p>
      </w:docPartBody>
    </w:docPart>
    <w:docPart>
      <w:docPartPr>
        <w:name w:val="1F0F358FCE5F4B67B4B6068BC526B2A5"/>
        <w:category>
          <w:name w:val="General"/>
          <w:gallery w:val="placeholder"/>
        </w:category>
        <w:types>
          <w:type w:val="bbPlcHdr"/>
        </w:types>
        <w:behaviors>
          <w:behavior w:val="content"/>
        </w:behaviors>
        <w:guid w:val="{6BC106B0-4269-42AF-8311-CBBEDC0591EA}"/>
      </w:docPartPr>
      <w:docPartBody>
        <w:p w:rsidR="002C3D9D" w:rsidRDefault="00DD478B" w:rsidP="00DD478B">
          <w:pPr>
            <w:pStyle w:val="1F0F358FCE5F4B67B4B6068BC526B2A52"/>
          </w:pPr>
          <w:r w:rsidRPr="002B0E6B">
            <w:rPr>
              <w:rStyle w:val="Textodelmarcadordeposicin"/>
              <w:rFonts w:ascii="BaskervilleT" w:hAnsi="BaskervilleT"/>
              <w:sz w:val="24"/>
              <w:szCs w:val="24"/>
            </w:rPr>
            <w:t>Elija un elemento.</w:t>
          </w:r>
        </w:p>
      </w:docPartBody>
    </w:docPart>
    <w:docPart>
      <w:docPartPr>
        <w:name w:val="6BE981B7E3D441AFB3A8EEB90372844E"/>
        <w:category>
          <w:name w:val="General"/>
          <w:gallery w:val="placeholder"/>
        </w:category>
        <w:types>
          <w:type w:val="bbPlcHdr"/>
        </w:types>
        <w:behaviors>
          <w:behavior w:val="content"/>
        </w:behaviors>
        <w:guid w:val="{99606244-B884-4E66-8754-5FBA489A91CC}"/>
      </w:docPartPr>
      <w:docPartBody>
        <w:p w:rsidR="002C3D9D" w:rsidRDefault="00DD478B" w:rsidP="00DD478B">
          <w:pPr>
            <w:pStyle w:val="6BE981B7E3D441AFB3A8EEB90372844E2"/>
          </w:pPr>
          <w:r w:rsidRPr="002B0E6B">
            <w:rPr>
              <w:rStyle w:val="Textodelmarcadordeposicin"/>
              <w:rFonts w:ascii="BaskervilleT" w:hAnsi="BaskervilleT"/>
              <w:sz w:val="24"/>
              <w:szCs w:val="24"/>
            </w:rPr>
            <w:t>Elija un elemento.</w:t>
          </w:r>
        </w:p>
      </w:docPartBody>
    </w:docPart>
    <w:docPart>
      <w:docPartPr>
        <w:name w:val="8BEF1B0C74104F7097B7FF389A725075"/>
        <w:category>
          <w:name w:val="General"/>
          <w:gallery w:val="placeholder"/>
        </w:category>
        <w:types>
          <w:type w:val="bbPlcHdr"/>
        </w:types>
        <w:behaviors>
          <w:behavior w:val="content"/>
        </w:behaviors>
        <w:guid w:val="{E053C906-8549-44D3-8622-041D70C5E99B}"/>
      </w:docPartPr>
      <w:docPartBody>
        <w:p w:rsidR="002C3D9D" w:rsidRDefault="00DD478B" w:rsidP="00DD478B">
          <w:pPr>
            <w:pStyle w:val="8BEF1B0C74104F7097B7FF389A7250752"/>
          </w:pPr>
          <w:r w:rsidRPr="002B0E6B">
            <w:rPr>
              <w:rStyle w:val="Textodelmarcadordeposicin"/>
              <w:rFonts w:ascii="BaskervilleT" w:hAnsi="BaskervilleT"/>
              <w:sz w:val="24"/>
              <w:szCs w:val="24"/>
            </w:rPr>
            <w:t>Elija un elemento.</w:t>
          </w:r>
        </w:p>
      </w:docPartBody>
    </w:docPart>
    <w:docPart>
      <w:docPartPr>
        <w:name w:val="1E8F5B3D656944F08705D9EA2081A717"/>
        <w:category>
          <w:name w:val="General"/>
          <w:gallery w:val="placeholder"/>
        </w:category>
        <w:types>
          <w:type w:val="bbPlcHdr"/>
        </w:types>
        <w:behaviors>
          <w:behavior w:val="content"/>
        </w:behaviors>
        <w:guid w:val="{FF216F80-9CEF-4AD1-A34A-8BE4138837C6}"/>
      </w:docPartPr>
      <w:docPartBody>
        <w:p w:rsidR="002C3D9D" w:rsidRDefault="00DD478B" w:rsidP="00DD478B">
          <w:pPr>
            <w:pStyle w:val="1E8F5B3D656944F08705D9EA2081A7172"/>
          </w:pPr>
          <w:r w:rsidRPr="002B0E6B">
            <w:rPr>
              <w:rStyle w:val="Textodelmarcadordeposicin"/>
              <w:rFonts w:ascii="BaskervilleT" w:hAnsi="BaskervilleT"/>
              <w:sz w:val="24"/>
              <w:szCs w:val="24"/>
            </w:rPr>
            <w:t>Elija un elemento.</w:t>
          </w:r>
        </w:p>
      </w:docPartBody>
    </w:docPart>
    <w:docPart>
      <w:docPartPr>
        <w:name w:val="5F47D064F5144FEBBFDBD74BC22FBC28"/>
        <w:category>
          <w:name w:val="General"/>
          <w:gallery w:val="placeholder"/>
        </w:category>
        <w:types>
          <w:type w:val="bbPlcHdr"/>
        </w:types>
        <w:behaviors>
          <w:behavior w:val="content"/>
        </w:behaviors>
        <w:guid w:val="{DA235147-2890-4E5B-A5D7-6F6452E8FD6D}"/>
      </w:docPartPr>
      <w:docPartBody>
        <w:p w:rsidR="002C3D9D" w:rsidRDefault="002C3D9D" w:rsidP="002C3D9D">
          <w:pPr>
            <w:pStyle w:val="5F47D064F5144FEBBFDBD74BC22FBC28"/>
          </w:pPr>
          <w:r w:rsidRPr="009D4E9C">
            <w:rPr>
              <w:rStyle w:val="Textodelmarcadordeposicin"/>
            </w:rPr>
            <w:t>Elija un elemento.</w:t>
          </w:r>
        </w:p>
      </w:docPartBody>
    </w:docPart>
    <w:docPart>
      <w:docPartPr>
        <w:name w:val="284B5E9B82664CCDBD9A1CBD44CF9521"/>
        <w:category>
          <w:name w:val="General"/>
          <w:gallery w:val="placeholder"/>
        </w:category>
        <w:types>
          <w:type w:val="bbPlcHdr"/>
        </w:types>
        <w:behaviors>
          <w:behavior w:val="content"/>
        </w:behaviors>
        <w:guid w:val="{E138E435-121C-4A8C-8ADA-E15461989802}"/>
      </w:docPartPr>
      <w:docPartBody>
        <w:p w:rsidR="002C3D9D" w:rsidRDefault="00DD478B" w:rsidP="00DD478B">
          <w:pPr>
            <w:pStyle w:val="284B5E9B82664CCDBD9A1CBD44CF95212"/>
          </w:pPr>
          <w:r w:rsidRPr="002B0E6B">
            <w:rPr>
              <w:rStyle w:val="Textodelmarcadordeposicin"/>
              <w:rFonts w:ascii="BaskervilleT" w:hAnsi="BaskervilleT"/>
              <w:sz w:val="24"/>
              <w:szCs w:val="24"/>
            </w:rPr>
            <w:t>Elija un elemento.</w:t>
          </w:r>
        </w:p>
      </w:docPartBody>
    </w:docPart>
    <w:docPart>
      <w:docPartPr>
        <w:name w:val="F00390F5CEA247329DCA93F0ADB703C6"/>
        <w:category>
          <w:name w:val="General"/>
          <w:gallery w:val="placeholder"/>
        </w:category>
        <w:types>
          <w:type w:val="bbPlcHdr"/>
        </w:types>
        <w:behaviors>
          <w:behavior w:val="content"/>
        </w:behaviors>
        <w:guid w:val="{BD8E43D3-6927-445F-83CD-E83914C7E24E}"/>
      </w:docPartPr>
      <w:docPartBody>
        <w:p w:rsidR="002C3D9D" w:rsidRDefault="00DD478B" w:rsidP="00DD478B">
          <w:pPr>
            <w:pStyle w:val="F00390F5CEA247329DCA93F0ADB703C62"/>
          </w:pPr>
          <w:r w:rsidRPr="002B0E6B">
            <w:rPr>
              <w:rStyle w:val="Textodelmarcadordeposicin"/>
              <w:rFonts w:ascii="BaskervilleT" w:hAnsi="BaskervilleT"/>
              <w:sz w:val="24"/>
              <w:szCs w:val="24"/>
            </w:rPr>
            <w:t>Elija un elemento.</w:t>
          </w:r>
        </w:p>
      </w:docPartBody>
    </w:docPart>
    <w:docPart>
      <w:docPartPr>
        <w:name w:val="DDD45C67644349698BD51E1E138E954B"/>
        <w:category>
          <w:name w:val="General"/>
          <w:gallery w:val="placeholder"/>
        </w:category>
        <w:types>
          <w:type w:val="bbPlcHdr"/>
        </w:types>
        <w:behaviors>
          <w:behavior w:val="content"/>
        </w:behaviors>
        <w:guid w:val="{7932F8E2-92DE-4413-A74C-B50E895DDF5B}"/>
      </w:docPartPr>
      <w:docPartBody>
        <w:p w:rsidR="002C3D9D" w:rsidRDefault="00DD478B" w:rsidP="00DD478B">
          <w:pPr>
            <w:pStyle w:val="DDD45C67644349698BD51E1E138E954B2"/>
          </w:pPr>
          <w:r w:rsidRPr="002B0E6B">
            <w:rPr>
              <w:rStyle w:val="Textodelmarcadordeposicin"/>
              <w:rFonts w:ascii="BaskervilleT" w:hAnsi="BaskervilleT"/>
              <w:sz w:val="24"/>
              <w:szCs w:val="24"/>
            </w:rPr>
            <w:t>Elija un elemento.</w:t>
          </w:r>
        </w:p>
      </w:docPartBody>
    </w:docPart>
    <w:docPart>
      <w:docPartPr>
        <w:name w:val="BA3B56B37A914EBBA28339CFB8648D87"/>
        <w:category>
          <w:name w:val="General"/>
          <w:gallery w:val="placeholder"/>
        </w:category>
        <w:types>
          <w:type w:val="bbPlcHdr"/>
        </w:types>
        <w:behaviors>
          <w:behavior w:val="content"/>
        </w:behaviors>
        <w:guid w:val="{61ADBB60-1C8F-453D-ABB4-C9DEF5E61D8A}"/>
      </w:docPartPr>
      <w:docPartBody>
        <w:p w:rsidR="002C3D9D" w:rsidRDefault="00DD478B" w:rsidP="00DD478B">
          <w:pPr>
            <w:pStyle w:val="BA3B56B37A914EBBA28339CFB8648D872"/>
          </w:pPr>
          <w:r w:rsidRPr="002B0E6B">
            <w:rPr>
              <w:rStyle w:val="Textodelmarcadordeposicin"/>
              <w:rFonts w:ascii="BaskervilleT" w:hAnsi="BaskervilleT"/>
              <w:sz w:val="24"/>
              <w:szCs w:val="24"/>
            </w:rPr>
            <w:t>Elija un elemento.</w:t>
          </w:r>
        </w:p>
      </w:docPartBody>
    </w:docPart>
    <w:docPart>
      <w:docPartPr>
        <w:name w:val="7E320B46E7184862AD492061031D0A9F"/>
        <w:category>
          <w:name w:val="General"/>
          <w:gallery w:val="placeholder"/>
        </w:category>
        <w:types>
          <w:type w:val="bbPlcHdr"/>
        </w:types>
        <w:behaviors>
          <w:behavior w:val="content"/>
        </w:behaviors>
        <w:guid w:val="{7F9D8FC4-6C04-4F20-BB73-56C2E04F0A87}"/>
      </w:docPartPr>
      <w:docPartBody>
        <w:p w:rsidR="002C3D9D" w:rsidRDefault="00DD478B" w:rsidP="00DD478B">
          <w:pPr>
            <w:pStyle w:val="7E320B46E7184862AD492061031D0A9F2"/>
          </w:pPr>
          <w:r w:rsidRPr="002B0E6B">
            <w:rPr>
              <w:rStyle w:val="Textodelmarcadordeposicin"/>
              <w:rFonts w:ascii="BaskervilleT" w:hAnsi="BaskervilleT"/>
              <w:sz w:val="24"/>
              <w:szCs w:val="24"/>
            </w:rPr>
            <w:t>Elija un elemento.</w:t>
          </w:r>
        </w:p>
      </w:docPartBody>
    </w:docPart>
    <w:docPart>
      <w:docPartPr>
        <w:name w:val="5643758F5CDF439DA166D3ACAB031CBB"/>
        <w:category>
          <w:name w:val="General"/>
          <w:gallery w:val="placeholder"/>
        </w:category>
        <w:types>
          <w:type w:val="bbPlcHdr"/>
        </w:types>
        <w:behaviors>
          <w:behavior w:val="content"/>
        </w:behaviors>
        <w:guid w:val="{721BC7CE-8628-4531-9CAD-E9FD1B468889}"/>
      </w:docPartPr>
      <w:docPartBody>
        <w:p w:rsidR="002C3D9D" w:rsidRDefault="00DD478B" w:rsidP="00DD478B">
          <w:pPr>
            <w:pStyle w:val="5643758F5CDF439DA166D3ACAB031CBB2"/>
          </w:pPr>
          <w:r w:rsidRPr="002B0E6B">
            <w:rPr>
              <w:rStyle w:val="Textodelmarcadordeposicin"/>
              <w:rFonts w:ascii="BaskervilleT" w:hAnsi="BaskervilleT"/>
              <w:sz w:val="24"/>
              <w:szCs w:val="24"/>
            </w:rPr>
            <w:t>Elija un elemento.</w:t>
          </w:r>
        </w:p>
      </w:docPartBody>
    </w:docPart>
    <w:docPart>
      <w:docPartPr>
        <w:name w:val="6A519AFE4375453DB0707BA69FC62744"/>
        <w:category>
          <w:name w:val="General"/>
          <w:gallery w:val="placeholder"/>
        </w:category>
        <w:types>
          <w:type w:val="bbPlcHdr"/>
        </w:types>
        <w:behaviors>
          <w:behavior w:val="content"/>
        </w:behaviors>
        <w:guid w:val="{15AB176A-B26A-4822-AFAA-238AB77DEC8B}"/>
      </w:docPartPr>
      <w:docPartBody>
        <w:p w:rsidR="002C3D9D" w:rsidRDefault="00DD478B" w:rsidP="00DD478B">
          <w:pPr>
            <w:pStyle w:val="6A519AFE4375453DB0707BA69FC627442"/>
          </w:pPr>
          <w:r w:rsidRPr="002B0E6B">
            <w:rPr>
              <w:rStyle w:val="Textodelmarcadordeposicin"/>
              <w:rFonts w:ascii="BaskervilleT" w:hAnsi="BaskervilleT"/>
              <w:sz w:val="24"/>
              <w:szCs w:val="24"/>
            </w:rPr>
            <w:t>Elija un elemento.</w:t>
          </w:r>
        </w:p>
      </w:docPartBody>
    </w:docPart>
    <w:docPart>
      <w:docPartPr>
        <w:name w:val="590561E7D4DC4A0BBCB2F3978D609F04"/>
        <w:category>
          <w:name w:val="General"/>
          <w:gallery w:val="placeholder"/>
        </w:category>
        <w:types>
          <w:type w:val="bbPlcHdr"/>
        </w:types>
        <w:behaviors>
          <w:behavior w:val="content"/>
        </w:behaviors>
        <w:guid w:val="{F6CCE7E8-74EF-4409-B6BE-C7ED472EAF6E}"/>
      </w:docPartPr>
      <w:docPartBody>
        <w:p w:rsidR="002C3D9D" w:rsidRDefault="00DD478B" w:rsidP="00DD478B">
          <w:pPr>
            <w:pStyle w:val="590561E7D4DC4A0BBCB2F3978D609F042"/>
          </w:pPr>
          <w:r w:rsidRPr="002B0E6B">
            <w:rPr>
              <w:rStyle w:val="Textodelmarcadordeposicin"/>
              <w:rFonts w:ascii="BaskervilleT" w:hAnsi="BaskervilleT"/>
              <w:sz w:val="24"/>
              <w:szCs w:val="24"/>
            </w:rPr>
            <w:t>Elija un elemento.</w:t>
          </w:r>
        </w:p>
      </w:docPartBody>
    </w:docPart>
    <w:docPart>
      <w:docPartPr>
        <w:name w:val="BCBEC2F404704B9CB41F8DD99D08CDB9"/>
        <w:category>
          <w:name w:val="General"/>
          <w:gallery w:val="placeholder"/>
        </w:category>
        <w:types>
          <w:type w:val="bbPlcHdr"/>
        </w:types>
        <w:behaviors>
          <w:behavior w:val="content"/>
        </w:behaviors>
        <w:guid w:val="{B4277DB1-AAEA-4973-95D8-7CB1A9DB457C}"/>
      </w:docPartPr>
      <w:docPartBody>
        <w:p w:rsidR="002C3D9D" w:rsidRDefault="00DD478B" w:rsidP="00DD478B">
          <w:pPr>
            <w:pStyle w:val="BCBEC2F404704B9CB41F8DD99D08CDB92"/>
          </w:pPr>
          <w:r w:rsidRPr="002B0E6B">
            <w:rPr>
              <w:rStyle w:val="Textodelmarcadordeposicin"/>
              <w:rFonts w:ascii="BaskervilleT" w:hAnsi="BaskervilleT"/>
              <w:sz w:val="24"/>
              <w:szCs w:val="24"/>
            </w:rPr>
            <w:t>Elija un elemento.</w:t>
          </w:r>
        </w:p>
      </w:docPartBody>
    </w:docPart>
    <w:docPart>
      <w:docPartPr>
        <w:name w:val="32BACD5372964A5D9453F8A7D0882FE5"/>
        <w:category>
          <w:name w:val="General"/>
          <w:gallery w:val="placeholder"/>
        </w:category>
        <w:types>
          <w:type w:val="bbPlcHdr"/>
        </w:types>
        <w:behaviors>
          <w:behavior w:val="content"/>
        </w:behaviors>
        <w:guid w:val="{38F295FE-84D0-439D-99DC-C16CD76B426F}"/>
      </w:docPartPr>
      <w:docPartBody>
        <w:p w:rsidR="002C3D9D" w:rsidRDefault="00DD478B" w:rsidP="00DD478B">
          <w:pPr>
            <w:pStyle w:val="32BACD5372964A5D9453F8A7D0882FE52"/>
          </w:pPr>
          <w:r w:rsidRPr="002B0E6B">
            <w:rPr>
              <w:rStyle w:val="Textodelmarcadordeposicin"/>
              <w:rFonts w:ascii="BaskervilleT" w:hAnsi="BaskervilleT"/>
              <w:sz w:val="24"/>
              <w:szCs w:val="24"/>
            </w:rPr>
            <w:t>Elija un elemento.</w:t>
          </w:r>
        </w:p>
      </w:docPartBody>
    </w:docPart>
    <w:docPart>
      <w:docPartPr>
        <w:name w:val="3A4880BEC0F845209013E12484D8AB2D"/>
        <w:category>
          <w:name w:val="General"/>
          <w:gallery w:val="placeholder"/>
        </w:category>
        <w:types>
          <w:type w:val="bbPlcHdr"/>
        </w:types>
        <w:behaviors>
          <w:behavior w:val="content"/>
        </w:behaviors>
        <w:guid w:val="{BB5C030E-BE80-48FD-9412-98D7B2871AAF}"/>
      </w:docPartPr>
      <w:docPartBody>
        <w:p w:rsidR="002C3D9D" w:rsidRDefault="00DD478B" w:rsidP="00DD478B">
          <w:pPr>
            <w:pStyle w:val="3A4880BEC0F845209013E12484D8AB2D2"/>
          </w:pPr>
          <w:r w:rsidRPr="002B0E6B">
            <w:rPr>
              <w:rStyle w:val="Textodelmarcadordeposicin"/>
              <w:rFonts w:ascii="BaskervilleT" w:hAnsi="BaskervilleT"/>
              <w:sz w:val="24"/>
              <w:szCs w:val="24"/>
            </w:rPr>
            <w:t>Elija un elemento.</w:t>
          </w:r>
        </w:p>
      </w:docPartBody>
    </w:docPart>
    <w:docPart>
      <w:docPartPr>
        <w:name w:val="110385841E84425BB4908CF485276438"/>
        <w:category>
          <w:name w:val="General"/>
          <w:gallery w:val="placeholder"/>
        </w:category>
        <w:types>
          <w:type w:val="bbPlcHdr"/>
        </w:types>
        <w:behaviors>
          <w:behavior w:val="content"/>
        </w:behaviors>
        <w:guid w:val="{8A1CEBAD-4596-4192-BB13-5CA696F4CD3A}"/>
      </w:docPartPr>
      <w:docPartBody>
        <w:p w:rsidR="002C3D9D" w:rsidRDefault="00DD478B" w:rsidP="00DD478B">
          <w:pPr>
            <w:pStyle w:val="110385841E84425BB4908CF4852764382"/>
          </w:pPr>
          <w:r w:rsidRPr="002B0E6B">
            <w:rPr>
              <w:rStyle w:val="Textodelmarcadordeposicin"/>
              <w:rFonts w:ascii="BaskervilleT" w:hAnsi="BaskervilleT"/>
              <w:sz w:val="24"/>
              <w:szCs w:val="24"/>
            </w:rPr>
            <w:t>Elija un elemento.</w:t>
          </w:r>
        </w:p>
      </w:docPartBody>
    </w:docPart>
    <w:docPart>
      <w:docPartPr>
        <w:name w:val="DFD6363888414722BF727A2AAD35359F"/>
        <w:category>
          <w:name w:val="General"/>
          <w:gallery w:val="placeholder"/>
        </w:category>
        <w:types>
          <w:type w:val="bbPlcHdr"/>
        </w:types>
        <w:behaviors>
          <w:behavior w:val="content"/>
        </w:behaviors>
        <w:guid w:val="{35B60A28-F9A7-42DC-BD1A-73461AFADD69}"/>
      </w:docPartPr>
      <w:docPartBody>
        <w:p w:rsidR="002C3D9D" w:rsidRDefault="00DD478B" w:rsidP="00DD478B">
          <w:pPr>
            <w:pStyle w:val="DFD6363888414722BF727A2AAD35359F2"/>
          </w:pPr>
          <w:r w:rsidRPr="002B0E6B">
            <w:rPr>
              <w:rStyle w:val="Textodelmarcadordeposicin"/>
              <w:rFonts w:ascii="BaskervilleT" w:hAnsi="BaskervilleT"/>
              <w:sz w:val="24"/>
              <w:szCs w:val="24"/>
            </w:rPr>
            <w:t>Elija un elemento.</w:t>
          </w:r>
        </w:p>
      </w:docPartBody>
    </w:docPart>
    <w:docPart>
      <w:docPartPr>
        <w:name w:val="39971D6D8CCC41D5B448AB9575008E30"/>
        <w:category>
          <w:name w:val="General"/>
          <w:gallery w:val="placeholder"/>
        </w:category>
        <w:types>
          <w:type w:val="bbPlcHdr"/>
        </w:types>
        <w:behaviors>
          <w:behavior w:val="content"/>
        </w:behaviors>
        <w:guid w:val="{E6A943F7-10DD-4191-8B24-AFAE40119A3C}"/>
      </w:docPartPr>
      <w:docPartBody>
        <w:p w:rsidR="002C3D9D" w:rsidRDefault="00DD478B" w:rsidP="00DD478B">
          <w:pPr>
            <w:pStyle w:val="39971D6D8CCC41D5B448AB9575008E302"/>
          </w:pPr>
          <w:r w:rsidRPr="002B0E6B">
            <w:rPr>
              <w:rStyle w:val="Textodelmarcadordeposicin"/>
              <w:rFonts w:ascii="BaskervilleT" w:hAnsi="BaskervilleT"/>
              <w:sz w:val="24"/>
              <w:szCs w:val="24"/>
            </w:rPr>
            <w:t>Elija un elemento.</w:t>
          </w:r>
        </w:p>
      </w:docPartBody>
    </w:docPart>
    <w:docPart>
      <w:docPartPr>
        <w:name w:val="94453A2C5E4B4679AD1EB7D25964FDAB"/>
        <w:category>
          <w:name w:val="General"/>
          <w:gallery w:val="placeholder"/>
        </w:category>
        <w:types>
          <w:type w:val="bbPlcHdr"/>
        </w:types>
        <w:behaviors>
          <w:behavior w:val="content"/>
        </w:behaviors>
        <w:guid w:val="{CFA7D664-59F9-4F32-BEEA-FD5C88716701}"/>
      </w:docPartPr>
      <w:docPartBody>
        <w:p w:rsidR="002C3D9D" w:rsidRDefault="00DD478B" w:rsidP="00DD478B">
          <w:pPr>
            <w:pStyle w:val="94453A2C5E4B4679AD1EB7D25964FDAB2"/>
          </w:pPr>
          <w:r w:rsidRPr="002B0E6B">
            <w:rPr>
              <w:rStyle w:val="Textodelmarcadordeposicin"/>
              <w:rFonts w:ascii="BaskervilleT" w:hAnsi="BaskervilleT"/>
              <w:sz w:val="24"/>
              <w:szCs w:val="24"/>
            </w:rPr>
            <w:t>Elija un elemento.</w:t>
          </w:r>
        </w:p>
      </w:docPartBody>
    </w:docPart>
    <w:docPart>
      <w:docPartPr>
        <w:name w:val="3CB4252A189446078CD3812B16B7EE6C"/>
        <w:category>
          <w:name w:val="General"/>
          <w:gallery w:val="placeholder"/>
        </w:category>
        <w:types>
          <w:type w:val="bbPlcHdr"/>
        </w:types>
        <w:behaviors>
          <w:behavior w:val="content"/>
        </w:behaviors>
        <w:guid w:val="{8D14D944-BB7E-4820-BD40-D90A69DE3E9B}"/>
      </w:docPartPr>
      <w:docPartBody>
        <w:p w:rsidR="002C3D9D" w:rsidRDefault="00DD478B" w:rsidP="00DD478B">
          <w:pPr>
            <w:pStyle w:val="3CB4252A189446078CD3812B16B7EE6C2"/>
          </w:pPr>
          <w:r w:rsidRPr="002B0E6B">
            <w:rPr>
              <w:rStyle w:val="Textodelmarcadordeposicin"/>
              <w:rFonts w:ascii="BaskervilleT" w:hAnsi="BaskervilleT"/>
              <w:sz w:val="24"/>
              <w:szCs w:val="24"/>
            </w:rPr>
            <w:t>Elija un elemento.</w:t>
          </w:r>
        </w:p>
      </w:docPartBody>
    </w:docPart>
    <w:docPart>
      <w:docPartPr>
        <w:name w:val="69FB8BA6665A4834AC973D520EF5E734"/>
        <w:category>
          <w:name w:val="General"/>
          <w:gallery w:val="placeholder"/>
        </w:category>
        <w:types>
          <w:type w:val="bbPlcHdr"/>
        </w:types>
        <w:behaviors>
          <w:behavior w:val="content"/>
        </w:behaviors>
        <w:guid w:val="{CC67053A-14E3-4B35-B1AA-388AF5FC1C89}"/>
      </w:docPartPr>
      <w:docPartBody>
        <w:p w:rsidR="002C3D9D" w:rsidRDefault="00DD478B" w:rsidP="00DD478B">
          <w:pPr>
            <w:pStyle w:val="69FB8BA6665A4834AC973D520EF5E7342"/>
          </w:pPr>
          <w:r w:rsidRPr="002B0E6B">
            <w:rPr>
              <w:rStyle w:val="Textodelmarcadordeposicin"/>
              <w:rFonts w:ascii="BaskervilleT" w:hAnsi="BaskervilleT"/>
              <w:sz w:val="24"/>
              <w:szCs w:val="24"/>
            </w:rPr>
            <w:t>Elija un elemento.</w:t>
          </w:r>
        </w:p>
      </w:docPartBody>
    </w:docPart>
    <w:docPart>
      <w:docPartPr>
        <w:name w:val="41420F74A663481FA6F5A09DCD11A7B7"/>
        <w:category>
          <w:name w:val="General"/>
          <w:gallery w:val="placeholder"/>
        </w:category>
        <w:types>
          <w:type w:val="bbPlcHdr"/>
        </w:types>
        <w:behaviors>
          <w:behavior w:val="content"/>
        </w:behaviors>
        <w:guid w:val="{DA5A231A-2D15-44DF-B23A-3E826E7197FC}"/>
      </w:docPartPr>
      <w:docPartBody>
        <w:p w:rsidR="002C3D9D" w:rsidRDefault="00DD478B" w:rsidP="00DD478B">
          <w:pPr>
            <w:pStyle w:val="41420F74A663481FA6F5A09DCD11A7B72"/>
          </w:pPr>
          <w:r w:rsidRPr="002B0E6B">
            <w:rPr>
              <w:rStyle w:val="Textodelmarcadordeposicin"/>
              <w:rFonts w:ascii="BaskervilleT" w:hAnsi="BaskervilleT"/>
              <w:sz w:val="24"/>
              <w:szCs w:val="24"/>
            </w:rPr>
            <w:t>Elija un elemento.</w:t>
          </w:r>
        </w:p>
      </w:docPartBody>
    </w:docPart>
    <w:docPart>
      <w:docPartPr>
        <w:name w:val="7D448AC3192D463CA0D758FD1B897467"/>
        <w:category>
          <w:name w:val="General"/>
          <w:gallery w:val="placeholder"/>
        </w:category>
        <w:types>
          <w:type w:val="bbPlcHdr"/>
        </w:types>
        <w:behaviors>
          <w:behavior w:val="content"/>
        </w:behaviors>
        <w:guid w:val="{4A12740D-5E9C-4657-B3DE-26439AC87D93}"/>
      </w:docPartPr>
      <w:docPartBody>
        <w:p w:rsidR="002C3D9D" w:rsidRDefault="00DD478B" w:rsidP="00DD478B">
          <w:pPr>
            <w:pStyle w:val="7D448AC3192D463CA0D758FD1B8974672"/>
          </w:pPr>
          <w:r w:rsidRPr="002B0E6B">
            <w:rPr>
              <w:rStyle w:val="Textodelmarcadordeposicin"/>
              <w:rFonts w:ascii="BaskervilleT" w:hAnsi="BaskervilleT"/>
              <w:sz w:val="24"/>
              <w:szCs w:val="24"/>
            </w:rPr>
            <w:t>Elija un elemento.</w:t>
          </w:r>
        </w:p>
      </w:docPartBody>
    </w:docPart>
    <w:docPart>
      <w:docPartPr>
        <w:name w:val="240EF640793A4E73900A38EF62B681B1"/>
        <w:category>
          <w:name w:val="General"/>
          <w:gallery w:val="placeholder"/>
        </w:category>
        <w:types>
          <w:type w:val="bbPlcHdr"/>
        </w:types>
        <w:behaviors>
          <w:behavior w:val="content"/>
        </w:behaviors>
        <w:guid w:val="{D6A51004-E567-4035-AD27-86088D2D8760}"/>
      </w:docPartPr>
      <w:docPartBody>
        <w:p w:rsidR="002C3D9D" w:rsidRDefault="00DD478B" w:rsidP="00DD478B">
          <w:pPr>
            <w:pStyle w:val="240EF640793A4E73900A38EF62B681B12"/>
          </w:pPr>
          <w:r w:rsidRPr="002B0E6B">
            <w:rPr>
              <w:rStyle w:val="Textodelmarcadordeposicin"/>
              <w:rFonts w:ascii="BaskervilleT" w:hAnsi="BaskervilleT"/>
              <w:sz w:val="24"/>
              <w:szCs w:val="24"/>
            </w:rPr>
            <w:t>Elija un elemento.</w:t>
          </w:r>
        </w:p>
      </w:docPartBody>
    </w:docPart>
    <w:docPart>
      <w:docPartPr>
        <w:name w:val="E35FCF2D4D0E48BA8C3DBCB2FA30B658"/>
        <w:category>
          <w:name w:val="General"/>
          <w:gallery w:val="placeholder"/>
        </w:category>
        <w:types>
          <w:type w:val="bbPlcHdr"/>
        </w:types>
        <w:behaviors>
          <w:behavior w:val="content"/>
        </w:behaviors>
        <w:guid w:val="{2B3BB187-7613-4DCE-9A43-092A2A7903CC}"/>
      </w:docPartPr>
      <w:docPartBody>
        <w:p w:rsidR="002C3D9D" w:rsidRDefault="00DD478B" w:rsidP="00DD478B">
          <w:pPr>
            <w:pStyle w:val="E35FCF2D4D0E48BA8C3DBCB2FA30B6582"/>
          </w:pPr>
          <w:r w:rsidRPr="002B0E6B">
            <w:rPr>
              <w:rStyle w:val="Textodelmarcadordeposicin"/>
              <w:rFonts w:ascii="BaskervilleT" w:hAnsi="BaskervilleT"/>
              <w:sz w:val="24"/>
              <w:szCs w:val="24"/>
            </w:rPr>
            <w:t>Elija un elemento.</w:t>
          </w:r>
        </w:p>
      </w:docPartBody>
    </w:docPart>
    <w:docPart>
      <w:docPartPr>
        <w:name w:val="4CF22FB0CEA948DD89F4DEA0DB61050D"/>
        <w:category>
          <w:name w:val="General"/>
          <w:gallery w:val="placeholder"/>
        </w:category>
        <w:types>
          <w:type w:val="bbPlcHdr"/>
        </w:types>
        <w:behaviors>
          <w:behavior w:val="content"/>
        </w:behaviors>
        <w:guid w:val="{E739F390-7574-4B27-87B7-D85AE9DAB454}"/>
      </w:docPartPr>
      <w:docPartBody>
        <w:p w:rsidR="002C3D9D" w:rsidRDefault="00DD478B" w:rsidP="00DD478B">
          <w:pPr>
            <w:pStyle w:val="4CF22FB0CEA948DD89F4DEA0DB61050D2"/>
          </w:pPr>
          <w:r w:rsidRPr="002B0E6B">
            <w:rPr>
              <w:rStyle w:val="Textodelmarcadordeposicin"/>
              <w:rFonts w:ascii="BaskervilleT" w:hAnsi="BaskervilleT"/>
              <w:sz w:val="24"/>
              <w:szCs w:val="24"/>
            </w:rPr>
            <w:t>Elija un elemento.</w:t>
          </w:r>
        </w:p>
      </w:docPartBody>
    </w:docPart>
    <w:docPart>
      <w:docPartPr>
        <w:name w:val="A4C08472954545059AAB237C38D8CA1C"/>
        <w:category>
          <w:name w:val="General"/>
          <w:gallery w:val="placeholder"/>
        </w:category>
        <w:types>
          <w:type w:val="bbPlcHdr"/>
        </w:types>
        <w:behaviors>
          <w:behavior w:val="content"/>
        </w:behaviors>
        <w:guid w:val="{CD04B1C2-A173-4FFB-8896-953CB62F3D44}"/>
      </w:docPartPr>
      <w:docPartBody>
        <w:p w:rsidR="002C3D9D" w:rsidRDefault="00DD478B" w:rsidP="00DD478B">
          <w:pPr>
            <w:pStyle w:val="A4C08472954545059AAB237C38D8CA1C2"/>
          </w:pPr>
          <w:r w:rsidRPr="002B0E6B">
            <w:rPr>
              <w:rStyle w:val="Textodelmarcadordeposicin"/>
              <w:rFonts w:ascii="BaskervilleT" w:hAnsi="BaskervilleT"/>
              <w:sz w:val="24"/>
              <w:szCs w:val="24"/>
            </w:rPr>
            <w:t>Elija un elemento.</w:t>
          </w:r>
        </w:p>
      </w:docPartBody>
    </w:docPart>
    <w:docPart>
      <w:docPartPr>
        <w:name w:val="01B748C0BF3748E08DFE684A6B5ABF67"/>
        <w:category>
          <w:name w:val="General"/>
          <w:gallery w:val="placeholder"/>
        </w:category>
        <w:types>
          <w:type w:val="bbPlcHdr"/>
        </w:types>
        <w:behaviors>
          <w:behavior w:val="content"/>
        </w:behaviors>
        <w:guid w:val="{FB157644-CD72-404E-92B3-2C2BBF302DE6}"/>
      </w:docPartPr>
      <w:docPartBody>
        <w:p w:rsidR="002C3D9D" w:rsidRDefault="00DD478B" w:rsidP="00DD478B">
          <w:pPr>
            <w:pStyle w:val="01B748C0BF3748E08DFE684A6B5ABF672"/>
          </w:pPr>
          <w:r w:rsidRPr="002B0E6B">
            <w:rPr>
              <w:rStyle w:val="Textodelmarcadordeposicin"/>
              <w:rFonts w:ascii="BaskervilleT" w:hAnsi="BaskervilleT"/>
              <w:sz w:val="24"/>
              <w:szCs w:val="24"/>
            </w:rPr>
            <w:t>Elija un elemento.</w:t>
          </w:r>
        </w:p>
      </w:docPartBody>
    </w:docPart>
    <w:docPart>
      <w:docPartPr>
        <w:name w:val="ACEE9F2252C749B99DEA0CFA52E2273E"/>
        <w:category>
          <w:name w:val="General"/>
          <w:gallery w:val="placeholder"/>
        </w:category>
        <w:types>
          <w:type w:val="bbPlcHdr"/>
        </w:types>
        <w:behaviors>
          <w:behavior w:val="content"/>
        </w:behaviors>
        <w:guid w:val="{BC54358B-87ED-4507-AC6B-33B21F9ACA9D}"/>
      </w:docPartPr>
      <w:docPartBody>
        <w:p w:rsidR="002C3D9D" w:rsidRDefault="00DD478B" w:rsidP="00DD478B">
          <w:pPr>
            <w:pStyle w:val="ACEE9F2252C749B99DEA0CFA52E2273E2"/>
          </w:pPr>
          <w:r w:rsidRPr="002B0E6B">
            <w:rPr>
              <w:rStyle w:val="Textodelmarcadordeposicin"/>
              <w:rFonts w:ascii="BaskervilleT" w:hAnsi="BaskervilleT"/>
              <w:sz w:val="24"/>
              <w:szCs w:val="24"/>
            </w:rPr>
            <w:t>Elija un elemento.</w:t>
          </w:r>
        </w:p>
      </w:docPartBody>
    </w:docPart>
    <w:docPart>
      <w:docPartPr>
        <w:name w:val="F9901B986E1C44BFADFB7D140327EEE8"/>
        <w:category>
          <w:name w:val="General"/>
          <w:gallery w:val="placeholder"/>
        </w:category>
        <w:types>
          <w:type w:val="bbPlcHdr"/>
        </w:types>
        <w:behaviors>
          <w:behavior w:val="content"/>
        </w:behaviors>
        <w:guid w:val="{C682FA9A-0A4D-43EB-A35F-BF2B36C6F69E}"/>
      </w:docPartPr>
      <w:docPartBody>
        <w:p w:rsidR="002C3D9D" w:rsidRDefault="002C3D9D" w:rsidP="002C3D9D">
          <w:pPr>
            <w:pStyle w:val="F9901B986E1C44BFADFB7D140327EEE8"/>
          </w:pPr>
          <w:r w:rsidRPr="00DE10FE">
            <w:rPr>
              <w:rStyle w:val="Textodelmarcadordeposicin"/>
            </w:rPr>
            <w:t>Haga clic o pulse aquí para escribir texto.</w:t>
          </w:r>
        </w:p>
      </w:docPartBody>
    </w:docPart>
    <w:docPart>
      <w:docPartPr>
        <w:name w:val="216C069BD52C4D86A55E3F810063CA95"/>
        <w:category>
          <w:name w:val="General"/>
          <w:gallery w:val="placeholder"/>
        </w:category>
        <w:types>
          <w:type w:val="bbPlcHdr"/>
        </w:types>
        <w:behaviors>
          <w:behavior w:val="content"/>
        </w:behaviors>
        <w:guid w:val="{9792C6F9-58DE-48C4-A374-791AEC195330}"/>
      </w:docPartPr>
      <w:docPartBody>
        <w:p w:rsidR="002C3D9D" w:rsidRDefault="002C3D9D" w:rsidP="002C3D9D">
          <w:pPr>
            <w:pStyle w:val="216C069BD52C4D86A55E3F810063CA95"/>
          </w:pPr>
          <w:r w:rsidRPr="00DE10FE">
            <w:rPr>
              <w:rStyle w:val="Textodelmarcadordeposicin"/>
            </w:rPr>
            <w:t>Haga clic o pulse aquí para escribir texto.</w:t>
          </w:r>
        </w:p>
      </w:docPartBody>
    </w:docPart>
    <w:docPart>
      <w:docPartPr>
        <w:name w:val="7CF68E7C3DD0491AB5455F006EE5A60A"/>
        <w:category>
          <w:name w:val="General"/>
          <w:gallery w:val="placeholder"/>
        </w:category>
        <w:types>
          <w:type w:val="bbPlcHdr"/>
        </w:types>
        <w:behaviors>
          <w:behavior w:val="content"/>
        </w:behaviors>
        <w:guid w:val="{44BE7C5B-C77E-40BB-A9AF-1720EBD2549C}"/>
      </w:docPartPr>
      <w:docPartBody>
        <w:p w:rsidR="006051D3" w:rsidRDefault="00DD478B" w:rsidP="00DD478B">
          <w:pPr>
            <w:pStyle w:val="7CF68E7C3DD0491AB5455F006EE5A60A2"/>
          </w:pPr>
          <w:r w:rsidRPr="006C3505">
            <w:rPr>
              <w:rStyle w:val="Textodelmarcadordeposicin"/>
              <w:rFonts w:ascii="BaskervilleT" w:hAnsi="BaskervilleT"/>
              <w:sz w:val="24"/>
              <w:szCs w:val="24"/>
            </w:rPr>
            <w:t>Elija un elemento.</w:t>
          </w:r>
        </w:p>
      </w:docPartBody>
    </w:docPart>
    <w:docPart>
      <w:docPartPr>
        <w:name w:val="0D207CAC2410422ABCB9D582D564AE81"/>
        <w:category>
          <w:name w:val="General"/>
          <w:gallery w:val="placeholder"/>
        </w:category>
        <w:types>
          <w:type w:val="bbPlcHdr"/>
        </w:types>
        <w:behaviors>
          <w:behavior w:val="content"/>
        </w:behaviors>
        <w:guid w:val="{3231EBED-FA64-487D-9EC3-A5EE8A6EDF1B}"/>
      </w:docPartPr>
      <w:docPartBody>
        <w:p w:rsidR="00DD478B" w:rsidRDefault="00DD478B" w:rsidP="00DD478B">
          <w:pPr>
            <w:pStyle w:val="0D207CAC2410422ABCB9D582D564AE811"/>
          </w:pPr>
          <w:r w:rsidRPr="00A33E89">
            <w:rPr>
              <w:rStyle w:val="Textodelmarcadordeposicin"/>
            </w:rPr>
            <w:t>Elija un elemento.</w:t>
          </w:r>
        </w:p>
      </w:docPartBody>
    </w:docPart>
    <w:docPart>
      <w:docPartPr>
        <w:name w:val="61AB50C7B4BD4320B48FF5B43AA4B925"/>
        <w:category>
          <w:name w:val="General"/>
          <w:gallery w:val="placeholder"/>
        </w:category>
        <w:types>
          <w:type w:val="bbPlcHdr"/>
        </w:types>
        <w:behaviors>
          <w:behavior w:val="content"/>
        </w:behaviors>
        <w:guid w:val="{DB851DF3-A959-47C7-974F-F5AD0FEA2C31}"/>
      </w:docPartPr>
      <w:docPartBody>
        <w:p w:rsidR="00DD478B" w:rsidRDefault="00DD478B" w:rsidP="00DD478B">
          <w:pPr>
            <w:pStyle w:val="61AB50C7B4BD4320B48FF5B43AA4B9251"/>
          </w:pPr>
          <w:r w:rsidRPr="00A33E89">
            <w:rPr>
              <w:rStyle w:val="Textodelmarcadordeposicin"/>
            </w:rPr>
            <w:t>Elija un elemento.</w:t>
          </w:r>
        </w:p>
      </w:docPartBody>
    </w:docPart>
    <w:docPart>
      <w:docPartPr>
        <w:name w:val="D0E78CC5EABA40E1B1E2D5B219980436"/>
        <w:category>
          <w:name w:val="General"/>
          <w:gallery w:val="placeholder"/>
        </w:category>
        <w:types>
          <w:type w:val="bbPlcHdr"/>
        </w:types>
        <w:behaviors>
          <w:behavior w:val="content"/>
        </w:behaviors>
        <w:guid w:val="{00A12F03-CA8A-4BA8-ACC7-1D32A60A2730}"/>
      </w:docPartPr>
      <w:docPartBody>
        <w:p w:rsidR="00DD478B" w:rsidRDefault="00DD478B" w:rsidP="00DD478B">
          <w:pPr>
            <w:pStyle w:val="D0E78CC5EABA40E1B1E2D5B2199804361"/>
          </w:pPr>
          <w:r w:rsidRPr="00A33E89">
            <w:rPr>
              <w:rStyle w:val="Textodelmarcadordeposicin"/>
            </w:rPr>
            <w:t>Elija un elemento.</w:t>
          </w:r>
        </w:p>
      </w:docPartBody>
    </w:docPart>
    <w:docPart>
      <w:docPartPr>
        <w:name w:val="DD3DFBEF74574C19998A38E16AAF3789"/>
        <w:category>
          <w:name w:val="General"/>
          <w:gallery w:val="placeholder"/>
        </w:category>
        <w:types>
          <w:type w:val="bbPlcHdr"/>
        </w:types>
        <w:behaviors>
          <w:behavior w:val="content"/>
        </w:behaviors>
        <w:guid w:val="{CC789FCA-3DFA-450D-BE3F-C498E3405589}"/>
      </w:docPartPr>
      <w:docPartBody>
        <w:p w:rsidR="0052277C" w:rsidRDefault="001E693C" w:rsidP="001E693C">
          <w:pPr>
            <w:pStyle w:val="DD3DFBEF74574C19998A38E16AAF3789"/>
          </w:pPr>
          <w:r w:rsidRPr="00D83F0A">
            <w:rPr>
              <w:rStyle w:val="Textodelmarcadordeposicin"/>
              <w:rFonts w:ascii="BaskervilleT" w:hAnsi="BaskervilleT"/>
              <w:sz w:val="24"/>
              <w:szCs w:val="24"/>
            </w:rPr>
            <w:t>Elija un elemento.</w:t>
          </w:r>
        </w:p>
      </w:docPartBody>
    </w:docPart>
    <w:docPart>
      <w:docPartPr>
        <w:name w:val="711D91DC85C140B08A977FF0065A1A61"/>
        <w:category>
          <w:name w:val="General"/>
          <w:gallery w:val="placeholder"/>
        </w:category>
        <w:types>
          <w:type w:val="bbPlcHdr"/>
        </w:types>
        <w:behaviors>
          <w:behavior w:val="content"/>
        </w:behaviors>
        <w:guid w:val="{9BCC87F2-E965-4284-91E7-1034E87B9D0C}"/>
      </w:docPartPr>
      <w:docPartBody>
        <w:p w:rsidR="0052277C" w:rsidRDefault="001E693C" w:rsidP="001E693C">
          <w:pPr>
            <w:pStyle w:val="711D91DC85C140B08A977FF0065A1A61"/>
          </w:pPr>
          <w:r w:rsidRPr="00D83F0A">
            <w:rPr>
              <w:rStyle w:val="Textodelmarcadordeposicin"/>
              <w:rFonts w:ascii="BaskervilleT" w:hAnsi="BaskervilleT"/>
              <w:sz w:val="24"/>
              <w:szCs w:val="24"/>
            </w:rPr>
            <w:t>Elija un elemento.</w:t>
          </w:r>
        </w:p>
      </w:docPartBody>
    </w:docPart>
    <w:docPart>
      <w:docPartPr>
        <w:name w:val="354F310F1D2340368DFEDC36AE7F5CA8"/>
        <w:category>
          <w:name w:val="General"/>
          <w:gallery w:val="placeholder"/>
        </w:category>
        <w:types>
          <w:type w:val="bbPlcHdr"/>
        </w:types>
        <w:behaviors>
          <w:behavior w:val="content"/>
        </w:behaviors>
        <w:guid w:val="{5C46AB4A-4A44-48BD-8EA0-5A9B9484C526}"/>
      </w:docPartPr>
      <w:docPartBody>
        <w:p w:rsidR="0052277C" w:rsidRDefault="001E693C" w:rsidP="001E693C">
          <w:pPr>
            <w:pStyle w:val="354F310F1D2340368DFEDC36AE7F5CA8"/>
          </w:pPr>
          <w:r w:rsidRPr="006C3505">
            <w:rPr>
              <w:rStyle w:val="Textodelmarcadordeposicin"/>
              <w:rFonts w:ascii="BaskervilleT" w:hAnsi="BaskervilleT"/>
              <w:sz w:val="24"/>
              <w:szCs w:val="24"/>
            </w:rPr>
            <w:t>Elija un elemento.</w:t>
          </w:r>
        </w:p>
      </w:docPartBody>
    </w:docPart>
    <w:docPart>
      <w:docPartPr>
        <w:name w:val="A9CF8DEF9ABE416F94AABCE07FF364D9"/>
        <w:category>
          <w:name w:val="General"/>
          <w:gallery w:val="placeholder"/>
        </w:category>
        <w:types>
          <w:type w:val="bbPlcHdr"/>
        </w:types>
        <w:behaviors>
          <w:behavior w:val="content"/>
        </w:behaviors>
        <w:guid w:val="{92841654-E1D3-4A0D-A597-9435AB26B345}"/>
      </w:docPartPr>
      <w:docPartBody>
        <w:p w:rsidR="0052277C" w:rsidRDefault="001E693C" w:rsidP="001E693C">
          <w:pPr>
            <w:pStyle w:val="A9CF8DEF9ABE416F94AABCE07FF364D9"/>
          </w:pPr>
          <w:r w:rsidRPr="006C3505">
            <w:rPr>
              <w:rStyle w:val="Textodelmarcadordeposicin"/>
              <w:rFonts w:ascii="BaskervilleT" w:hAnsi="BaskervilleT"/>
              <w:sz w:val="24"/>
              <w:szCs w:val="24"/>
            </w:rPr>
            <w:t>Elija un elemento.</w:t>
          </w:r>
        </w:p>
      </w:docPartBody>
    </w:docPart>
    <w:docPart>
      <w:docPartPr>
        <w:name w:val="DefaultPlaceholder_-1854013438"/>
        <w:category>
          <w:name w:val="General"/>
          <w:gallery w:val="placeholder"/>
        </w:category>
        <w:types>
          <w:type w:val="bbPlcHdr"/>
        </w:types>
        <w:behaviors>
          <w:behavior w:val="content"/>
        </w:behaviors>
        <w:guid w:val="{94297550-324E-4FE0-BAA5-0CC0A4C43EDF}"/>
      </w:docPartPr>
      <w:docPartBody>
        <w:p w:rsidR="0052277C" w:rsidRDefault="001E693C">
          <w:r w:rsidRPr="00D02BEE">
            <w:rPr>
              <w:rStyle w:val="Textodelmarcadordeposicin"/>
            </w:rPr>
            <w:t>Elija un elemento.</w:t>
          </w:r>
        </w:p>
      </w:docPartBody>
    </w:docPart>
    <w:docPart>
      <w:docPartPr>
        <w:name w:val="925A87E541A0473AB90640FDCE6AEF6C"/>
        <w:category>
          <w:name w:val="General"/>
          <w:gallery w:val="placeholder"/>
        </w:category>
        <w:types>
          <w:type w:val="bbPlcHdr"/>
        </w:types>
        <w:behaviors>
          <w:behavior w:val="content"/>
        </w:behaviors>
        <w:guid w:val="{D8DBA861-4DA6-4CBB-8EC2-2DF499B04F6A}"/>
      </w:docPartPr>
      <w:docPartBody>
        <w:p w:rsidR="00D96B68" w:rsidRDefault="00D96B68" w:rsidP="00D96B68">
          <w:pPr>
            <w:pStyle w:val="925A87E541A0473AB90640FDCE6AEF6C"/>
          </w:pPr>
          <w:r w:rsidRPr="006C3505">
            <w:rPr>
              <w:rStyle w:val="Textodelmarcadordeposicin"/>
              <w:rFonts w:ascii="BaskervilleT" w:hAnsi="BaskervilleT"/>
              <w:sz w:val="24"/>
              <w:szCs w:val="24"/>
            </w:rPr>
            <w:t>Elija un elemento.</w:t>
          </w:r>
        </w:p>
      </w:docPartBody>
    </w:docPart>
    <w:docPart>
      <w:docPartPr>
        <w:name w:val="52E321B2C55B4FB7A51C245BD505319C"/>
        <w:category>
          <w:name w:val="General"/>
          <w:gallery w:val="placeholder"/>
        </w:category>
        <w:types>
          <w:type w:val="bbPlcHdr"/>
        </w:types>
        <w:behaviors>
          <w:behavior w:val="content"/>
        </w:behaviors>
        <w:guid w:val="{EFD64359-E44F-4122-8341-C22C7D6F5621}"/>
      </w:docPartPr>
      <w:docPartBody>
        <w:p w:rsidR="00C448B0" w:rsidRDefault="00B63BDC" w:rsidP="00B63BDC">
          <w:pPr>
            <w:pStyle w:val="52E321B2C55B4FB7A51C245BD505319C"/>
          </w:pPr>
          <w:r w:rsidRPr="00A62E94">
            <w:rPr>
              <w:rFonts w:ascii="BaskervilleT" w:hAnsi="BaskervilleT"/>
              <w:color w:val="808080" w:themeColor="background1" w:themeShade="80"/>
              <w:sz w:val="24"/>
              <w:szCs w:val="24"/>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skervilleT">
    <w:altName w:val="Baskerville T"/>
    <w:panose1 w:val="02040603050505020303"/>
    <w:charset w:val="00"/>
    <w:family w:val="roman"/>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552"/>
    <w:rsid w:val="00056122"/>
    <w:rsid w:val="000F276B"/>
    <w:rsid w:val="001E0DA5"/>
    <w:rsid w:val="001E693C"/>
    <w:rsid w:val="002221D0"/>
    <w:rsid w:val="002C3D9D"/>
    <w:rsid w:val="003631BF"/>
    <w:rsid w:val="003A4552"/>
    <w:rsid w:val="00407E87"/>
    <w:rsid w:val="00473171"/>
    <w:rsid w:val="00484CD5"/>
    <w:rsid w:val="00494EC1"/>
    <w:rsid w:val="00517713"/>
    <w:rsid w:val="0052277C"/>
    <w:rsid w:val="005A233D"/>
    <w:rsid w:val="005C74F7"/>
    <w:rsid w:val="006051D3"/>
    <w:rsid w:val="006206B0"/>
    <w:rsid w:val="00633C3E"/>
    <w:rsid w:val="0067424A"/>
    <w:rsid w:val="00704EC9"/>
    <w:rsid w:val="00721C8E"/>
    <w:rsid w:val="00744029"/>
    <w:rsid w:val="00745862"/>
    <w:rsid w:val="007E0B4D"/>
    <w:rsid w:val="008C6CBE"/>
    <w:rsid w:val="00946C95"/>
    <w:rsid w:val="009F6FD6"/>
    <w:rsid w:val="009F7AAA"/>
    <w:rsid w:val="00A023B9"/>
    <w:rsid w:val="00A37E35"/>
    <w:rsid w:val="00A91B71"/>
    <w:rsid w:val="00AC5BED"/>
    <w:rsid w:val="00AE38E5"/>
    <w:rsid w:val="00B04ADB"/>
    <w:rsid w:val="00B33649"/>
    <w:rsid w:val="00B63BDC"/>
    <w:rsid w:val="00B72CCF"/>
    <w:rsid w:val="00C448B0"/>
    <w:rsid w:val="00CD39A9"/>
    <w:rsid w:val="00D0346E"/>
    <w:rsid w:val="00D96B68"/>
    <w:rsid w:val="00DC437B"/>
    <w:rsid w:val="00DD478B"/>
    <w:rsid w:val="00DF5467"/>
    <w:rsid w:val="00E43AD3"/>
    <w:rsid w:val="00F5295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PY" w:eastAsia="es-PY"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96B68"/>
    <w:rPr>
      <w:color w:val="808080"/>
    </w:rPr>
  </w:style>
  <w:style w:type="paragraph" w:customStyle="1" w:styleId="E9F3BC5C641244F6912E6DA93383FAE1">
    <w:name w:val="E9F3BC5C641244F6912E6DA93383FAE1"/>
    <w:rsid w:val="002221D0"/>
  </w:style>
  <w:style w:type="paragraph" w:customStyle="1" w:styleId="11559E8BEF8741E9ACC34ED1B9D8B063">
    <w:name w:val="11559E8BEF8741E9ACC34ED1B9D8B063"/>
    <w:rsid w:val="002221D0"/>
  </w:style>
  <w:style w:type="paragraph" w:customStyle="1" w:styleId="316133191F0649B5B2A3645460156E3F">
    <w:name w:val="316133191F0649B5B2A3645460156E3F"/>
    <w:rsid w:val="002221D0"/>
  </w:style>
  <w:style w:type="paragraph" w:customStyle="1" w:styleId="0A188618C10848E4A41957F8E5C5BD2D">
    <w:name w:val="0A188618C10848E4A41957F8E5C5BD2D"/>
    <w:rsid w:val="002221D0"/>
  </w:style>
  <w:style w:type="paragraph" w:customStyle="1" w:styleId="00CD5B619B8546EEB831C846118C25D4">
    <w:name w:val="00CD5B619B8546EEB831C846118C25D4"/>
    <w:rsid w:val="002221D0"/>
  </w:style>
  <w:style w:type="paragraph" w:customStyle="1" w:styleId="21DE5EBCE37F487E891EAF5B77557758">
    <w:name w:val="21DE5EBCE37F487E891EAF5B77557758"/>
    <w:rsid w:val="002221D0"/>
  </w:style>
  <w:style w:type="paragraph" w:customStyle="1" w:styleId="5F47D064F5144FEBBFDBD74BC22FBC28">
    <w:name w:val="5F47D064F5144FEBBFDBD74BC22FBC28"/>
    <w:rsid w:val="002C3D9D"/>
  </w:style>
  <w:style w:type="paragraph" w:customStyle="1" w:styleId="F9901B986E1C44BFADFB7D140327EEE8">
    <w:name w:val="F9901B986E1C44BFADFB7D140327EEE8"/>
    <w:rsid w:val="002C3D9D"/>
  </w:style>
  <w:style w:type="paragraph" w:customStyle="1" w:styleId="216C069BD52C4D86A55E3F810063CA95">
    <w:name w:val="216C069BD52C4D86A55E3F810063CA95"/>
    <w:rsid w:val="002C3D9D"/>
  </w:style>
  <w:style w:type="paragraph" w:customStyle="1" w:styleId="06D4B634A5EA455EAD03EB6287CDA8EE2">
    <w:name w:val="06D4B634A5EA455EAD03EB6287CDA8EE2"/>
    <w:rsid w:val="00DD478B"/>
    <w:pPr>
      <w:spacing w:after="0" w:line="276" w:lineRule="auto"/>
    </w:pPr>
    <w:rPr>
      <w:rFonts w:ascii="Arial" w:eastAsia="Arial" w:hAnsi="Arial" w:cs="Arial"/>
      <w:kern w:val="0"/>
      <w:lang w:val="es"/>
      <w14:ligatures w14:val="none"/>
    </w:rPr>
  </w:style>
  <w:style w:type="paragraph" w:customStyle="1" w:styleId="0D207CAC2410422ABCB9D582D564AE811">
    <w:name w:val="0D207CAC2410422ABCB9D582D564AE811"/>
    <w:rsid w:val="00DD478B"/>
    <w:pPr>
      <w:spacing w:after="0" w:line="276" w:lineRule="auto"/>
    </w:pPr>
    <w:rPr>
      <w:rFonts w:ascii="Arial" w:eastAsia="Arial" w:hAnsi="Arial" w:cs="Arial"/>
      <w:kern w:val="0"/>
      <w:lang w:val="es"/>
      <w14:ligatures w14:val="none"/>
    </w:rPr>
  </w:style>
  <w:style w:type="paragraph" w:customStyle="1" w:styleId="61AB50C7B4BD4320B48FF5B43AA4B9251">
    <w:name w:val="61AB50C7B4BD4320B48FF5B43AA4B9251"/>
    <w:rsid w:val="00DD478B"/>
    <w:pPr>
      <w:spacing w:after="0" w:line="276" w:lineRule="auto"/>
    </w:pPr>
    <w:rPr>
      <w:rFonts w:ascii="Arial" w:eastAsia="Arial" w:hAnsi="Arial" w:cs="Arial"/>
      <w:kern w:val="0"/>
      <w:lang w:val="es"/>
      <w14:ligatures w14:val="none"/>
    </w:rPr>
  </w:style>
  <w:style w:type="paragraph" w:customStyle="1" w:styleId="D0E78CC5EABA40E1B1E2D5B2199804361">
    <w:name w:val="D0E78CC5EABA40E1B1E2D5B2199804361"/>
    <w:rsid w:val="00DD478B"/>
    <w:pPr>
      <w:spacing w:after="0" w:line="276" w:lineRule="auto"/>
    </w:pPr>
    <w:rPr>
      <w:rFonts w:ascii="Arial" w:eastAsia="Arial" w:hAnsi="Arial" w:cs="Arial"/>
      <w:kern w:val="0"/>
      <w:lang w:val="es"/>
      <w14:ligatures w14:val="none"/>
    </w:rPr>
  </w:style>
  <w:style w:type="paragraph" w:customStyle="1" w:styleId="DCB67D0CAD3F4E318D551CA8C15F47C92">
    <w:name w:val="DCB67D0CAD3F4E318D551CA8C15F47C92"/>
    <w:rsid w:val="00DD478B"/>
    <w:pPr>
      <w:spacing w:after="0" w:line="276" w:lineRule="auto"/>
    </w:pPr>
    <w:rPr>
      <w:rFonts w:ascii="Arial" w:eastAsia="Arial" w:hAnsi="Arial" w:cs="Arial"/>
      <w:kern w:val="0"/>
      <w:lang w:val="es"/>
      <w14:ligatures w14:val="none"/>
    </w:rPr>
  </w:style>
  <w:style w:type="paragraph" w:customStyle="1" w:styleId="C2653CB107654D9C89AC4442F851D6692">
    <w:name w:val="C2653CB107654D9C89AC4442F851D6692"/>
    <w:rsid w:val="00DD478B"/>
    <w:pPr>
      <w:spacing w:after="0" w:line="276" w:lineRule="auto"/>
    </w:pPr>
    <w:rPr>
      <w:rFonts w:ascii="Arial" w:eastAsia="Arial" w:hAnsi="Arial" w:cs="Arial"/>
      <w:kern w:val="0"/>
      <w:lang w:val="es"/>
      <w14:ligatures w14:val="none"/>
    </w:rPr>
  </w:style>
  <w:style w:type="paragraph" w:customStyle="1" w:styleId="EC54F067B4CD4EB59AC8803906370DE62">
    <w:name w:val="EC54F067B4CD4EB59AC8803906370DE62"/>
    <w:rsid w:val="00DD478B"/>
    <w:pPr>
      <w:spacing w:after="0" w:line="276" w:lineRule="auto"/>
    </w:pPr>
    <w:rPr>
      <w:rFonts w:ascii="Arial" w:eastAsia="Arial" w:hAnsi="Arial" w:cs="Arial"/>
      <w:kern w:val="0"/>
      <w:lang w:val="es"/>
      <w14:ligatures w14:val="none"/>
    </w:rPr>
  </w:style>
  <w:style w:type="paragraph" w:customStyle="1" w:styleId="B4B43F6CB6FC49158933F762155BD5EA2">
    <w:name w:val="B4B43F6CB6FC49158933F762155BD5EA2"/>
    <w:rsid w:val="00DD478B"/>
    <w:pPr>
      <w:spacing w:after="0" w:line="276" w:lineRule="auto"/>
    </w:pPr>
    <w:rPr>
      <w:rFonts w:ascii="Arial" w:eastAsia="Arial" w:hAnsi="Arial" w:cs="Arial"/>
      <w:kern w:val="0"/>
      <w:lang w:val="es"/>
      <w14:ligatures w14:val="none"/>
    </w:rPr>
  </w:style>
  <w:style w:type="paragraph" w:customStyle="1" w:styleId="F8D31A13EBFC40EDA213B9F82EC5020C2">
    <w:name w:val="F8D31A13EBFC40EDA213B9F82EC5020C2"/>
    <w:rsid w:val="00DD478B"/>
    <w:pPr>
      <w:spacing w:after="0" w:line="276" w:lineRule="auto"/>
    </w:pPr>
    <w:rPr>
      <w:rFonts w:ascii="Arial" w:eastAsia="Arial" w:hAnsi="Arial" w:cs="Arial"/>
      <w:kern w:val="0"/>
      <w:lang w:val="es"/>
      <w14:ligatures w14:val="none"/>
    </w:rPr>
  </w:style>
  <w:style w:type="paragraph" w:customStyle="1" w:styleId="8375E3F6C31D420680E419D49D116C3D2">
    <w:name w:val="8375E3F6C31D420680E419D49D116C3D2"/>
    <w:rsid w:val="00DD478B"/>
    <w:pPr>
      <w:spacing w:after="0" w:line="276" w:lineRule="auto"/>
    </w:pPr>
    <w:rPr>
      <w:rFonts w:ascii="Arial" w:eastAsia="Arial" w:hAnsi="Arial" w:cs="Arial"/>
      <w:kern w:val="0"/>
      <w:lang w:val="es"/>
      <w14:ligatures w14:val="none"/>
    </w:rPr>
  </w:style>
  <w:style w:type="paragraph" w:customStyle="1" w:styleId="1F0F358FCE5F4B67B4B6068BC526B2A52">
    <w:name w:val="1F0F358FCE5F4B67B4B6068BC526B2A52"/>
    <w:rsid w:val="00DD478B"/>
    <w:pPr>
      <w:spacing w:after="0" w:line="276" w:lineRule="auto"/>
    </w:pPr>
    <w:rPr>
      <w:rFonts w:ascii="Arial" w:eastAsia="Arial" w:hAnsi="Arial" w:cs="Arial"/>
      <w:kern w:val="0"/>
      <w:lang w:val="es"/>
      <w14:ligatures w14:val="none"/>
    </w:rPr>
  </w:style>
  <w:style w:type="paragraph" w:customStyle="1" w:styleId="6BE981B7E3D441AFB3A8EEB90372844E2">
    <w:name w:val="6BE981B7E3D441AFB3A8EEB90372844E2"/>
    <w:rsid w:val="00DD478B"/>
    <w:pPr>
      <w:spacing w:after="0" w:line="276" w:lineRule="auto"/>
    </w:pPr>
    <w:rPr>
      <w:rFonts w:ascii="Arial" w:eastAsia="Arial" w:hAnsi="Arial" w:cs="Arial"/>
      <w:kern w:val="0"/>
      <w:lang w:val="es"/>
      <w14:ligatures w14:val="none"/>
    </w:rPr>
  </w:style>
  <w:style w:type="paragraph" w:customStyle="1" w:styleId="8BEF1B0C74104F7097B7FF389A7250752">
    <w:name w:val="8BEF1B0C74104F7097B7FF389A7250752"/>
    <w:rsid w:val="00DD478B"/>
    <w:pPr>
      <w:spacing w:after="0" w:line="276" w:lineRule="auto"/>
    </w:pPr>
    <w:rPr>
      <w:rFonts w:ascii="Arial" w:eastAsia="Arial" w:hAnsi="Arial" w:cs="Arial"/>
      <w:kern w:val="0"/>
      <w:lang w:val="es"/>
      <w14:ligatures w14:val="none"/>
    </w:rPr>
  </w:style>
  <w:style w:type="paragraph" w:customStyle="1" w:styleId="1E8F5B3D656944F08705D9EA2081A7172">
    <w:name w:val="1E8F5B3D656944F08705D9EA2081A7172"/>
    <w:rsid w:val="00DD478B"/>
    <w:pPr>
      <w:spacing w:after="0" w:line="276" w:lineRule="auto"/>
    </w:pPr>
    <w:rPr>
      <w:rFonts w:ascii="Arial" w:eastAsia="Arial" w:hAnsi="Arial" w:cs="Arial"/>
      <w:kern w:val="0"/>
      <w:lang w:val="es"/>
      <w14:ligatures w14:val="none"/>
    </w:rPr>
  </w:style>
  <w:style w:type="paragraph" w:customStyle="1" w:styleId="284B5E9B82664CCDBD9A1CBD44CF95212">
    <w:name w:val="284B5E9B82664CCDBD9A1CBD44CF95212"/>
    <w:rsid w:val="00DD478B"/>
    <w:pPr>
      <w:spacing w:after="0" w:line="276" w:lineRule="auto"/>
    </w:pPr>
    <w:rPr>
      <w:rFonts w:ascii="Arial" w:eastAsia="Arial" w:hAnsi="Arial" w:cs="Arial"/>
      <w:kern w:val="0"/>
      <w:lang w:val="es"/>
      <w14:ligatures w14:val="none"/>
    </w:rPr>
  </w:style>
  <w:style w:type="paragraph" w:customStyle="1" w:styleId="F00390F5CEA247329DCA93F0ADB703C62">
    <w:name w:val="F00390F5CEA247329DCA93F0ADB703C62"/>
    <w:rsid w:val="00DD478B"/>
    <w:pPr>
      <w:spacing w:after="0" w:line="276" w:lineRule="auto"/>
    </w:pPr>
    <w:rPr>
      <w:rFonts w:ascii="Arial" w:eastAsia="Arial" w:hAnsi="Arial" w:cs="Arial"/>
      <w:kern w:val="0"/>
      <w:lang w:val="es"/>
      <w14:ligatures w14:val="none"/>
    </w:rPr>
  </w:style>
  <w:style w:type="paragraph" w:customStyle="1" w:styleId="DDD45C67644349698BD51E1E138E954B2">
    <w:name w:val="DDD45C67644349698BD51E1E138E954B2"/>
    <w:rsid w:val="00DD478B"/>
    <w:pPr>
      <w:spacing w:after="0" w:line="276" w:lineRule="auto"/>
    </w:pPr>
    <w:rPr>
      <w:rFonts w:ascii="Arial" w:eastAsia="Arial" w:hAnsi="Arial" w:cs="Arial"/>
      <w:kern w:val="0"/>
      <w:lang w:val="es"/>
      <w14:ligatures w14:val="none"/>
    </w:rPr>
  </w:style>
  <w:style w:type="paragraph" w:customStyle="1" w:styleId="BA3B56B37A914EBBA28339CFB8648D872">
    <w:name w:val="BA3B56B37A914EBBA28339CFB8648D872"/>
    <w:rsid w:val="00DD478B"/>
    <w:pPr>
      <w:spacing w:after="0" w:line="276" w:lineRule="auto"/>
    </w:pPr>
    <w:rPr>
      <w:rFonts w:ascii="Arial" w:eastAsia="Arial" w:hAnsi="Arial" w:cs="Arial"/>
      <w:kern w:val="0"/>
      <w:lang w:val="es"/>
      <w14:ligatures w14:val="none"/>
    </w:rPr>
  </w:style>
  <w:style w:type="paragraph" w:customStyle="1" w:styleId="7E320B46E7184862AD492061031D0A9F2">
    <w:name w:val="7E320B46E7184862AD492061031D0A9F2"/>
    <w:rsid w:val="00DD478B"/>
    <w:pPr>
      <w:spacing w:after="0" w:line="276" w:lineRule="auto"/>
    </w:pPr>
    <w:rPr>
      <w:rFonts w:ascii="Arial" w:eastAsia="Arial" w:hAnsi="Arial" w:cs="Arial"/>
      <w:kern w:val="0"/>
      <w:lang w:val="es"/>
      <w14:ligatures w14:val="none"/>
    </w:rPr>
  </w:style>
  <w:style w:type="paragraph" w:customStyle="1" w:styleId="5643758F5CDF439DA166D3ACAB031CBB2">
    <w:name w:val="5643758F5CDF439DA166D3ACAB031CBB2"/>
    <w:rsid w:val="00DD478B"/>
    <w:pPr>
      <w:spacing w:after="0" w:line="276" w:lineRule="auto"/>
    </w:pPr>
    <w:rPr>
      <w:rFonts w:ascii="Arial" w:eastAsia="Arial" w:hAnsi="Arial" w:cs="Arial"/>
      <w:kern w:val="0"/>
      <w:lang w:val="es"/>
      <w14:ligatures w14:val="none"/>
    </w:rPr>
  </w:style>
  <w:style w:type="paragraph" w:customStyle="1" w:styleId="6A519AFE4375453DB0707BA69FC627442">
    <w:name w:val="6A519AFE4375453DB0707BA69FC627442"/>
    <w:rsid w:val="00DD478B"/>
    <w:pPr>
      <w:spacing w:after="0" w:line="276" w:lineRule="auto"/>
    </w:pPr>
    <w:rPr>
      <w:rFonts w:ascii="Arial" w:eastAsia="Arial" w:hAnsi="Arial" w:cs="Arial"/>
      <w:kern w:val="0"/>
      <w:lang w:val="es"/>
      <w14:ligatures w14:val="none"/>
    </w:rPr>
  </w:style>
  <w:style w:type="paragraph" w:customStyle="1" w:styleId="590561E7D4DC4A0BBCB2F3978D609F042">
    <w:name w:val="590561E7D4DC4A0BBCB2F3978D609F042"/>
    <w:rsid w:val="00DD478B"/>
    <w:pPr>
      <w:spacing w:after="0" w:line="276" w:lineRule="auto"/>
    </w:pPr>
    <w:rPr>
      <w:rFonts w:ascii="Arial" w:eastAsia="Arial" w:hAnsi="Arial" w:cs="Arial"/>
      <w:kern w:val="0"/>
      <w:lang w:val="es"/>
      <w14:ligatures w14:val="none"/>
    </w:rPr>
  </w:style>
  <w:style w:type="paragraph" w:customStyle="1" w:styleId="BCBEC2F404704B9CB41F8DD99D08CDB92">
    <w:name w:val="BCBEC2F404704B9CB41F8DD99D08CDB92"/>
    <w:rsid w:val="00DD478B"/>
    <w:pPr>
      <w:spacing w:after="0" w:line="276" w:lineRule="auto"/>
    </w:pPr>
    <w:rPr>
      <w:rFonts w:ascii="Arial" w:eastAsia="Arial" w:hAnsi="Arial" w:cs="Arial"/>
      <w:kern w:val="0"/>
      <w:lang w:val="es"/>
      <w14:ligatures w14:val="none"/>
    </w:rPr>
  </w:style>
  <w:style w:type="paragraph" w:customStyle="1" w:styleId="32BACD5372964A5D9453F8A7D0882FE52">
    <w:name w:val="32BACD5372964A5D9453F8A7D0882FE52"/>
    <w:rsid w:val="00DD478B"/>
    <w:pPr>
      <w:spacing w:after="0" w:line="276" w:lineRule="auto"/>
    </w:pPr>
    <w:rPr>
      <w:rFonts w:ascii="Arial" w:eastAsia="Arial" w:hAnsi="Arial" w:cs="Arial"/>
      <w:kern w:val="0"/>
      <w:lang w:val="es"/>
      <w14:ligatures w14:val="none"/>
    </w:rPr>
  </w:style>
  <w:style w:type="paragraph" w:customStyle="1" w:styleId="3A4880BEC0F845209013E12484D8AB2D2">
    <w:name w:val="3A4880BEC0F845209013E12484D8AB2D2"/>
    <w:rsid w:val="00DD478B"/>
    <w:pPr>
      <w:spacing w:after="0" w:line="276" w:lineRule="auto"/>
    </w:pPr>
    <w:rPr>
      <w:rFonts w:ascii="Arial" w:eastAsia="Arial" w:hAnsi="Arial" w:cs="Arial"/>
      <w:kern w:val="0"/>
      <w:lang w:val="es"/>
      <w14:ligatures w14:val="none"/>
    </w:rPr>
  </w:style>
  <w:style w:type="paragraph" w:customStyle="1" w:styleId="110385841E84425BB4908CF4852764382">
    <w:name w:val="110385841E84425BB4908CF4852764382"/>
    <w:rsid w:val="00DD478B"/>
    <w:pPr>
      <w:spacing w:after="0" w:line="276" w:lineRule="auto"/>
    </w:pPr>
    <w:rPr>
      <w:rFonts w:ascii="Arial" w:eastAsia="Arial" w:hAnsi="Arial" w:cs="Arial"/>
      <w:kern w:val="0"/>
      <w:lang w:val="es"/>
      <w14:ligatures w14:val="none"/>
    </w:rPr>
  </w:style>
  <w:style w:type="paragraph" w:customStyle="1" w:styleId="DFD6363888414722BF727A2AAD35359F2">
    <w:name w:val="DFD6363888414722BF727A2AAD35359F2"/>
    <w:rsid w:val="00DD478B"/>
    <w:pPr>
      <w:spacing w:after="0" w:line="276" w:lineRule="auto"/>
    </w:pPr>
    <w:rPr>
      <w:rFonts w:ascii="Arial" w:eastAsia="Arial" w:hAnsi="Arial" w:cs="Arial"/>
      <w:kern w:val="0"/>
      <w:lang w:val="es"/>
      <w14:ligatures w14:val="none"/>
    </w:rPr>
  </w:style>
  <w:style w:type="paragraph" w:customStyle="1" w:styleId="39971D6D8CCC41D5B448AB9575008E302">
    <w:name w:val="39971D6D8CCC41D5B448AB9575008E302"/>
    <w:rsid w:val="00DD478B"/>
    <w:pPr>
      <w:spacing w:after="0" w:line="276" w:lineRule="auto"/>
    </w:pPr>
    <w:rPr>
      <w:rFonts w:ascii="Arial" w:eastAsia="Arial" w:hAnsi="Arial" w:cs="Arial"/>
      <w:kern w:val="0"/>
      <w:lang w:val="es"/>
      <w14:ligatures w14:val="none"/>
    </w:rPr>
  </w:style>
  <w:style w:type="paragraph" w:customStyle="1" w:styleId="94453A2C5E4B4679AD1EB7D25964FDAB2">
    <w:name w:val="94453A2C5E4B4679AD1EB7D25964FDAB2"/>
    <w:rsid w:val="00DD478B"/>
    <w:pPr>
      <w:spacing w:after="0" w:line="276" w:lineRule="auto"/>
    </w:pPr>
    <w:rPr>
      <w:rFonts w:ascii="Arial" w:eastAsia="Arial" w:hAnsi="Arial" w:cs="Arial"/>
      <w:kern w:val="0"/>
      <w:lang w:val="es"/>
      <w14:ligatures w14:val="none"/>
    </w:rPr>
  </w:style>
  <w:style w:type="paragraph" w:customStyle="1" w:styleId="3CB4252A189446078CD3812B16B7EE6C2">
    <w:name w:val="3CB4252A189446078CD3812B16B7EE6C2"/>
    <w:rsid w:val="00DD478B"/>
    <w:pPr>
      <w:spacing w:after="0" w:line="276" w:lineRule="auto"/>
    </w:pPr>
    <w:rPr>
      <w:rFonts w:ascii="Arial" w:eastAsia="Arial" w:hAnsi="Arial" w:cs="Arial"/>
      <w:kern w:val="0"/>
      <w:lang w:val="es"/>
      <w14:ligatures w14:val="none"/>
    </w:rPr>
  </w:style>
  <w:style w:type="paragraph" w:customStyle="1" w:styleId="69FB8BA6665A4834AC973D520EF5E7342">
    <w:name w:val="69FB8BA6665A4834AC973D520EF5E7342"/>
    <w:rsid w:val="00DD478B"/>
    <w:pPr>
      <w:spacing w:after="0" w:line="276" w:lineRule="auto"/>
    </w:pPr>
    <w:rPr>
      <w:rFonts w:ascii="Arial" w:eastAsia="Arial" w:hAnsi="Arial" w:cs="Arial"/>
      <w:kern w:val="0"/>
      <w:lang w:val="es"/>
      <w14:ligatures w14:val="none"/>
    </w:rPr>
  </w:style>
  <w:style w:type="paragraph" w:customStyle="1" w:styleId="41420F74A663481FA6F5A09DCD11A7B72">
    <w:name w:val="41420F74A663481FA6F5A09DCD11A7B72"/>
    <w:rsid w:val="00DD478B"/>
    <w:pPr>
      <w:spacing w:after="0" w:line="276" w:lineRule="auto"/>
    </w:pPr>
    <w:rPr>
      <w:rFonts w:ascii="Arial" w:eastAsia="Arial" w:hAnsi="Arial" w:cs="Arial"/>
      <w:kern w:val="0"/>
      <w:lang w:val="es"/>
      <w14:ligatures w14:val="none"/>
    </w:rPr>
  </w:style>
  <w:style w:type="paragraph" w:customStyle="1" w:styleId="7D448AC3192D463CA0D758FD1B8974672">
    <w:name w:val="7D448AC3192D463CA0D758FD1B8974672"/>
    <w:rsid w:val="00DD478B"/>
    <w:pPr>
      <w:spacing w:after="0" w:line="276" w:lineRule="auto"/>
    </w:pPr>
    <w:rPr>
      <w:rFonts w:ascii="Arial" w:eastAsia="Arial" w:hAnsi="Arial" w:cs="Arial"/>
      <w:kern w:val="0"/>
      <w:lang w:val="es"/>
      <w14:ligatures w14:val="none"/>
    </w:rPr>
  </w:style>
  <w:style w:type="paragraph" w:customStyle="1" w:styleId="240EF640793A4E73900A38EF62B681B12">
    <w:name w:val="240EF640793A4E73900A38EF62B681B12"/>
    <w:rsid w:val="00DD478B"/>
    <w:pPr>
      <w:spacing w:after="0" w:line="276" w:lineRule="auto"/>
    </w:pPr>
    <w:rPr>
      <w:rFonts w:ascii="Arial" w:eastAsia="Arial" w:hAnsi="Arial" w:cs="Arial"/>
      <w:kern w:val="0"/>
      <w:lang w:val="es"/>
      <w14:ligatures w14:val="none"/>
    </w:rPr>
  </w:style>
  <w:style w:type="paragraph" w:customStyle="1" w:styleId="E35FCF2D4D0E48BA8C3DBCB2FA30B6582">
    <w:name w:val="E35FCF2D4D0E48BA8C3DBCB2FA30B6582"/>
    <w:rsid w:val="00DD478B"/>
    <w:pPr>
      <w:spacing w:after="0" w:line="276" w:lineRule="auto"/>
    </w:pPr>
    <w:rPr>
      <w:rFonts w:ascii="Arial" w:eastAsia="Arial" w:hAnsi="Arial" w:cs="Arial"/>
      <w:kern w:val="0"/>
      <w:lang w:val="es"/>
      <w14:ligatures w14:val="none"/>
    </w:rPr>
  </w:style>
  <w:style w:type="paragraph" w:customStyle="1" w:styleId="4CF22FB0CEA948DD89F4DEA0DB61050D2">
    <w:name w:val="4CF22FB0CEA948DD89F4DEA0DB61050D2"/>
    <w:rsid w:val="00DD478B"/>
    <w:pPr>
      <w:spacing w:after="0" w:line="276" w:lineRule="auto"/>
    </w:pPr>
    <w:rPr>
      <w:rFonts w:ascii="Arial" w:eastAsia="Arial" w:hAnsi="Arial" w:cs="Arial"/>
      <w:kern w:val="0"/>
      <w:lang w:val="es"/>
      <w14:ligatures w14:val="none"/>
    </w:rPr>
  </w:style>
  <w:style w:type="paragraph" w:customStyle="1" w:styleId="A4C08472954545059AAB237C38D8CA1C2">
    <w:name w:val="A4C08472954545059AAB237C38D8CA1C2"/>
    <w:rsid w:val="00DD478B"/>
    <w:pPr>
      <w:spacing w:after="0" w:line="276" w:lineRule="auto"/>
    </w:pPr>
    <w:rPr>
      <w:rFonts w:ascii="Arial" w:eastAsia="Arial" w:hAnsi="Arial" w:cs="Arial"/>
      <w:kern w:val="0"/>
      <w:lang w:val="es"/>
      <w14:ligatures w14:val="none"/>
    </w:rPr>
  </w:style>
  <w:style w:type="paragraph" w:customStyle="1" w:styleId="01B748C0BF3748E08DFE684A6B5ABF672">
    <w:name w:val="01B748C0BF3748E08DFE684A6B5ABF672"/>
    <w:rsid w:val="00DD478B"/>
    <w:pPr>
      <w:spacing w:after="0" w:line="276" w:lineRule="auto"/>
    </w:pPr>
    <w:rPr>
      <w:rFonts w:ascii="Arial" w:eastAsia="Arial" w:hAnsi="Arial" w:cs="Arial"/>
      <w:kern w:val="0"/>
      <w:lang w:val="es"/>
      <w14:ligatures w14:val="none"/>
    </w:rPr>
  </w:style>
  <w:style w:type="paragraph" w:customStyle="1" w:styleId="ACEE9F2252C749B99DEA0CFA52E2273E2">
    <w:name w:val="ACEE9F2252C749B99DEA0CFA52E2273E2"/>
    <w:rsid w:val="00DD478B"/>
    <w:pPr>
      <w:spacing w:after="0" w:line="276" w:lineRule="auto"/>
    </w:pPr>
    <w:rPr>
      <w:rFonts w:ascii="Arial" w:eastAsia="Arial" w:hAnsi="Arial" w:cs="Arial"/>
      <w:kern w:val="0"/>
      <w:lang w:val="es"/>
      <w14:ligatures w14:val="none"/>
    </w:rPr>
  </w:style>
  <w:style w:type="paragraph" w:customStyle="1" w:styleId="7CF68E7C3DD0491AB5455F006EE5A60A2">
    <w:name w:val="7CF68E7C3DD0491AB5455F006EE5A60A2"/>
    <w:rsid w:val="00DD478B"/>
    <w:pPr>
      <w:spacing w:after="0" w:line="276" w:lineRule="auto"/>
    </w:pPr>
    <w:rPr>
      <w:rFonts w:ascii="Arial" w:eastAsia="Arial" w:hAnsi="Arial" w:cs="Arial"/>
      <w:kern w:val="0"/>
      <w:lang w:val="es"/>
      <w14:ligatures w14:val="none"/>
    </w:rPr>
  </w:style>
  <w:style w:type="paragraph" w:customStyle="1" w:styleId="4C7098307F484F88B7691961AD6CE9982">
    <w:name w:val="4C7098307F484F88B7691961AD6CE9982"/>
    <w:rsid w:val="00DD478B"/>
    <w:pPr>
      <w:spacing w:after="0" w:line="276" w:lineRule="auto"/>
    </w:pPr>
    <w:rPr>
      <w:rFonts w:ascii="Arial" w:eastAsia="Arial" w:hAnsi="Arial" w:cs="Arial"/>
      <w:kern w:val="0"/>
      <w:lang w:val="es"/>
      <w14:ligatures w14:val="none"/>
    </w:rPr>
  </w:style>
  <w:style w:type="paragraph" w:customStyle="1" w:styleId="2468C491A37040E39D19E13ABC90A3E42">
    <w:name w:val="2468C491A37040E39D19E13ABC90A3E42"/>
    <w:rsid w:val="00DD478B"/>
    <w:pPr>
      <w:spacing w:after="0" w:line="276" w:lineRule="auto"/>
    </w:pPr>
    <w:rPr>
      <w:rFonts w:ascii="Arial" w:eastAsia="Arial" w:hAnsi="Arial" w:cs="Arial"/>
      <w:kern w:val="0"/>
      <w:lang w:val="es"/>
      <w14:ligatures w14:val="none"/>
    </w:rPr>
  </w:style>
  <w:style w:type="paragraph" w:customStyle="1" w:styleId="F892906FB600464C9B4CCD1ED19301F82">
    <w:name w:val="F892906FB600464C9B4CCD1ED19301F82"/>
    <w:rsid w:val="00DD478B"/>
    <w:pPr>
      <w:spacing w:after="0" w:line="276" w:lineRule="auto"/>
    </w:pPr>
    <w:rPr>
      <w:rFonts w:ascii="Arial" w:eastAsia="Arial" w:hAnsi="Arial" w:cs="Arial"/>
      <w:kern w:val="0"/>
      <w:lang w:val="es"/>
      <w14:ligatures w14:val="none"/>
    </w:rPr>
  </w:style>
  <w:style w:type="paragraph" w:customStyle="1" w:styleId="0212D692CD8D4B2294F2920845872BD52">
    <w:name w:val="0212D692CD8D4B2294F2920845872BD52"/>
    <w:rsid w:val="00DD478B"/>
    <w:pPr>
      <w:spacing w:after="0" w:line="276" w:lineRule="auto"/>
    </w:pPr>
    <w:rPr>
      <w:rFonts w:ascii="Arial" w:eastAsia="Arial" w:hAnsi="Arial" w:cs="Arial"/>
      <w:kern w:val="0"/>
      <w:lang w:val="es"/>
      <w14:ligatures w14:val="none"/>
    </w:rPr>
  </w:style>
  <w:style w:type="paragraph" w:customStyle="1" w:styleId="86A24F796E3E45378621A77D917E90B02">
    <w:name w:val="86A24F796E3E45378621A77D917E90B02"/>
    <w:rsid w:val="00DD478B"/>
    <w:pPr>
      <w:spacing w:after="0" w:line="276" w:lineRule="auto"/>
    </w:pPr>
    <w:rPr>
      <w:rFonts w:ascii="Arial" w:eastAsia="Arial" w:hAnsi="Arial" w:cs="Arial"/>
      <w:kern w:val="0"/>
      <w:lang w:val="es"/>
      <w14:ligatures w14:val="none"/>
    </w:rPr>
  </w:style>
  <w:style w:type="paragraph" w:customStyle="1" w:styleId="62074484AEA34D7FB1927AEA122636322">
    <w:name w:val="62074484AEA34D7FB1927AEA122636322"/>
    <w:rsid w:val="00DD478B"/>
    <w:pPr>
      <w:spacing w:after="0" w:line="276" w:lineRule="auto"/>
      <w:ind w:left="720"/>
      <w:contextualSpacing/>
    </w:pPr>
    <w:rPr>
      <w:rFonts w:ascii="Arial" w:eastAsia="Arial" w:hAnsi="Arial" w:cs="Arial"/>
      <w:kern w:val="0"/>
      <w:lang w:val="es"/>
      <w14:ligatures w14:val="none"/>
    </w:rPr>
  </w:style>
  <w:style w:type="paragraph" w:customStyle="1" w:styleId="CB3A11AF49474FF28364607CF4A85A842">
    <w:name w:val="CB3A11AF49474FF28364607CF4A85A842"/>
    <w:rsid w:val="00DD478B"/>
    <w:pPr>
      <w:spacing w:after="0" w:line="276" w:lineRule="auto"/>
      <w:ind w:left="720"/>
      <w:contextualSpacing/>
    </w:pPr>
    <w:rPr>
      <w:rFonts w:ascii="Arial" w:eastAsia="Arial" w:hAnsi="Arial" w:cs="Arial"/>
      <w:kern w:val="0"/>
      <w:lang w:val="es"/>
      <w14:ligatures w14:val="none"/>
    </w:rPr>
  </w:style>
  <w:style w:type="paragraph" w:customStyle="1" w:styleId="529D08BA3F1D4CF0AF7944EF3730C0F62">
    <w:name w:val="529D08BA3F1D4CF0AF7944EF3730C0F62"/>
    <w:rsid w:val="00DD478B"/>
    <w:pPr>
      <w:spacing w:after="0" w:line="276" w:lineRule="auto"/>
      <w:ind w:left="720"/>
      <w:contextualSpacing/>
    </w:pPr>
    <w:rPr>
      <w:rFonts w:ascii="Arial" w:eastAsia="Arial" w:hAnsi="Arial" w:cs="Arial"/>
      <w:kern w:val="0"/>
      <w:lang w:val="es"/>
      <w14:ligatures w14:val="none"/>
    </w:rPr>
  </w:style>
  <w:style w:type="paragraph" w:customStyle="1" w:styleId="1B0E3CA389824575BB33AC16049D1D79">
    <w:name w:val="1B0E3CA389824575BB33AC16049D1D79"/>
    <w:rsid w:val="001E693C"/>
  </w:style>
  <w:style w:type="paragraph" w:customStyle="1" w:styleId="DD3DFBEF74574C19998A38E16AAF3789">
    <w:name w:val="DD3DFBEF74574C19998A38E16AAF3789"/>
    <w:rsid w:val="001E693C"/>
  </w:style>
  <w:style w:type="paragraph" w:customStyle="1" w:styleId="711D91DC85C140B08A977FF0065A1A61">
    <w:name w:val="711D91DC85C140B08A977FF0065A1A61"/>
    <w:rsid w:val="001E693C"/>
  </w:style>
  <w:style w:type="paragraph" w:customStyle="1" w:styleId="153483F4A1184710B5106C143AB4AF5C">
    <w:name w:val="153483F4A1184710B5106C143AB4AF5C"/>
    <w:rsid w:val="001E693C"/>
  </w:style>
  <w:style w:type="paragraph" w:customStyle="1" w:styleId="33E9F62F00284F22B1E25C3013E94B7D">
    <w:name w:val="33E9F62F00284F22B1E25C3013E94B7D"/>
    <w:rsid w:val="001E693C"/>
  </w:style>
  <w:style w:type="paragraph" w:customStyle="1" w:styleId="57B55E2580954E7F933F8C30F9393971">
    <w:name w:val="57B55E2580954E7F933F8C30F9393971"/>
    <w:rsid w:val="001E693C"/>
  </w:style>
  <w:style w:type="paragraph" w:customStyle="1" w:styleId="9BF750CECAEF40F99DBF340C2AC9E384">
    <w:name w:val="9BF750CECAEF40F99DBF340C2AC9E384"/>
    <w:rsid w:val="001E693C"/>
  </w:style>
  <w:style w:type="paragraph" w:customStyle="1" w:styleId="B50BB5FE336C4F9F9CA7D4484D9E4DA6">
    <w:name w:val="B50BB5FE336C4F9F9CA7D4484D9E4DA6"/>
    <w:rsid w:val="001E693C"/>
  </w:style>
  <w:style w:type="paragraph" w:customStyle="1" w:styleId="354F310F1D2340368DFEDC36AE7F5CA8">
    <w:name w:val="354F310F1D2340368DFEDC36AE7F5CA8"/>
    <w:rsid w:val="001E693C"/>
  </w:style>
  <w:style w:type="paragraph" w:customStyle="1" w:styleId="A9CF8DEF9ABE416F94AABCE07FF364D9">
    <w:name w:val="A9CF8DEF9ABE416F94AABCE07FF364D9"/>
    <w:rsid w:val="001E693C"/>
  </w:style>
  <w:style w:type="paragraph" w:customStyle="1" w:styleId="4A418EDBB9344F5793FA73FB604646E3">
    <w:name w:val="4A418EDBB9344F5793FA73FB604646E3"/>
    <w:rsid w:val="001E693C"/>
  </w:style>
  <w:style w:type="paragraph" w:customStyle="1" w:styleId="36F30CE56E5D43B59610BD1803973EB1">
    <w:name w:val="36F30CE56E5D43B59610BD1803973EB1"/>
    <w:rsid w:val="001E693C"/>
  </w:style>
  <w:style w:type="paragraph" w:customStyle="1" w:styleId="F7F0EFDAD8D4498995C38332CABCB77F">
    <w:name w:val="F7F0EFDAD8D4498995C38332CABCB77F"/>
    <w:rsid w:val="001E693C"/>
  </w:style>
  <w:style w:type="paragraph" w:customStyle="1" w:styleId="5229C6A2E93F4A128C907B84A675944B">
    <w:name w:val="5229C6A2E93F4A128C907B84A675944B"/>
    <w:rsid w:val="001E693C"/>
  </w:style>
  <w:style w:type="paragraph" w:customStyle="1" w:styleId="79DF5D2FB70745CB879152DDACDC3A28">
    <w:name w:val="79DF5D2FB70745CB879152DDACDC3A28"/>
    <w:rsid w:val="001E693C"/>
  </w:style>
  <w:style w:type="paragraph" w:customStyle="1" w:styleId="8F712C218FE4405CB03250316719815E">
    <w:name w:val="8F712C218FE4405CB03250316719815E"/>
    <w:rsid w:val="001E693C"/>
  </w:style>
  <w:style w:type="paragraph" w:customStyle="1" w:styleId="4631B052596F430EAD98334AB8AB2553">
    <w:name w:val="4631B052596F430EAD98334AB8AB2553"/>
    <w:rsid w:val="001E693C"/>
  </w:style>
  <w:style w:type="paragraph" w:customStyle="1" w:styleId="E92D4CB496464036A2A36F95C8EA2BC0">
    <w:name w:val="E92D4CB496464036A2A36F95C8EA2BC0"/>
    <w:rsid w:val="001E693C"/>
  </w:style>
  <w:style w:type="paragraph" w:customStyle="1" w:styleId="E10D44777C3A4F9D82502CEBC8A30AE2">
    <w:name w:val="E10D44777C3A4F9D82502CEBC8A30AE2"/>
    <w:rsid w:val="001E693C"/>
  </w:style>
  <w:style w:type="paragraph" w:customStyle="1" w:styleId="96539A7022DF461C836E46F0138241F5">
    <w:name w:val="96539A7022DF461C836E46F0138241F5"/>
    <w:rsid w:val="001E693C"/>
  </w:style>
  <w:style w:type="paragraph" w:customStyle="1" w:styleId="78D00DA8F83A48ED913B65AA5F161405">
    <w:name w:val="78D00DA8F83A48ED913B65AA5F161405"/>
    <w:rsid w:val="001E693C"/>
  </w:style>
  <w:style w:type="paragraph" w:customStyle="1" w:styleId="64317F3745784209AE6A4B17312B983E">
    <w:name w:val="64317F3745784209AE6A4B17312B983E"/>
    <w:rsid w:val="001E693C"/>
  </w:style>
  <w:style w:type="paragraph" w:customStyle="1" w:styleId="1C0FE666E76B44268807E923103F6F1B">
    <w:name w:val="1C0FE666E76B44268807E923103F6F1B"/>
    <w:rsid w:val="001E693C"/>
  </w:style>
  <w:style w:type="paragraph" w:customStyle="1" w:styleId="B73AD71A3D954491B493788C1E8F304E">
    <w:name w:val="B73AD71A3D954491B493788C1E8F304E"/>
    <w:rsid w:val="001E693C"/>
  </w:style>
  <w:style w:type="paragraph" w:customStyle="1" w:styleId="9FAEC488AEBB42F0B11B8D976C3EA699">
    <w:name w:val="9FAEC488AEBB42F0B11B8D976C3EA699"/>
    <w:rsid w:val="001E693C"/>
  </w:style>
  <w:style w:type="paragraph" w:customStyle="1" w:styleId="0BCD60937AFB4B2AAB0C91B20FFD27B1">
    <w:name w:val="0BCD60937AFB4B2AAB0C91B20FFD27B1"/>
    <w:rsid w:val="001E693C"/>
  </w:style>
  <w:style w:type="paragraph" w:customStyle="1" w:styleId="7C043FDDF66B49648E53CDEC71422EB3">
    <w:name w:val="7C043FDDF66B49648E53CDEC71422EB3"/>
    <w:rsid w:val="001E693C"/>
  </w:style>
  <w:style w:type="paragraph" w:customStyle="1" w:styleId="B3184774A0684696B60E17D0D133342F">
    <w:name w:val="B3184774A0684696B60E17D0D133342F"/>
    <w:rsid w:val="001E693C"/>
  </w:style>
  <w:style w:type="paragraph" w:customStyle="1" w:styleId="1B5B454C8F534646875A8C9F30788FE7">
    <w:name w:val="1B5B454C8F534646875A8C9F30788FE7"/>
    <w:rsid w:val="001E693C"/>
  </w:style>
  <w:style w:type="paragraph" w:customStyle="1" w:styleId="24DDACB6DB2248BEB4FF5624E543346B">
    <w:name w:val="24DDACB6DB2248BEB4FF5624E543346B"/>
    <w:rsid w:val="001E693C"/>
  </w:style>
  <w:style w:type="paragraph" w:customStyle="1" w:styleId="7AFEABC07809422686D5D4B76A5FB29D">
    <w:name w:val="7AFEABC07809422686D5D4B76A5FB29D"/>
    <w:rsid w:val="001E693C"/>
  </w:style>
  <w:style w:type="paragraph" w:customStyle="1" w:styleId="1AEDFF68540E44B4B72EDAC7FF30F191">
    <w:name w:val="1AEDFF68540E44B4B72EDAC7FF30F191"/>
    <w:rsid w:val="001E693C"/>
  </w:style>
  <w:style w:type="paragraph" w:customStyle="1" w:styleId="41EC8C9277D547809206F6254B98441E">
    <w:name w:val="41EC8C9277D547809206F6254B98441E"/>
    <w:rsid w:val="001E693C"/>
  </w:style>
  <w:style w:type="paragraph" w:customStyle="1" w:styleId="79419EA22DE34D19BD4CE8FDB68B8B1B">
    <w:name w:val="79419EA22DE34D19BD4CE8FDB68B8B1B"/>
    <w:rsid w:val="001E693C"/>
  </w:style>
  <w:style w:type="paragraph" w:customStyle="1" w:styleId="88788D06CF9443E5BA66604BB71AC5B8">
    <w:name w:val="88788D06CF9443E5BA66604BB71AC5B8"/>
    <w:rsid w:val="001E693C"/>
  </w:style>
  <w:style w:type="paragraph" w:customStyle="1" w:styleId="D237BE75D30C4E668FA045E64B8692CA">
    <w:name w:val="D237BE75D30C4E668FA045E64B8692CA"/>
    <w:rsid w:val="001E693C"/>
  </w:style>
  <w:style w:type="paragraph" w:customStyle="1" w:styleId="D688B802A8A9409F8CC9867571D04CD2">
    <w:name w:val="D688B802A8A9409F8CC9867571D04CD2"/>
    <w:rsid w:val="001E693C"/>
  </w:style>
  <w:style w:type="paragraph" w:customStyle="1" w:styleId="2B3EE1DB0DDC455394CB763AB34A570A">
    <w:name w:val="2B3EE1DB0DDC455394CB763AB34A570A"/>
    <w:rsid w:val="001E693C"/>
  </w:style>
  <w:style w:type="paragraph" w:customStyle="1" w:styleId="893C86365A4446F2A48F67CD57DCD70A">
    <w:name w:val="893C86365A4446F2A48F67CD57DCD70A"/>
    <w:rsid w:val="001E693C"/>
  </w:style>
  <w:style w:type="paragraph" w:customStyle="1" w:styleId="CE2BB668F36B48F5986607630560603A">
    <w:name w:val="CE2BB668F36B48F5986607630560603A"/>
    <w:rsid w:val="001E693C"/>
  </w:style>
  <w:style w:type="paragraph" w:customStyle="1" w:styleId="E24A61FF0A834BCE8F92D49DA6667782">
    <w:name w:val="E24A61FF0A834BCE8F92D49DA6667782"/>
    <w:rsid w:val="001E693C"/>
  </w:style>
  <w:style w:type="paragraph" w:customStyle="1" w:styleId="D53827555BFD41509C5777A5A91E3843">
    <w:name w:val="D53827555BFD41509C5777A5A91E3843"/>
    <w:rsid w:val="001E693C"/>
  </w:style>
  <w:style w:type="paragraph" w:customStyle="1" w:styleId="925A87E541A0473AB90640FDCE6AEF6C">
    <w:name w:val="925A87E541A0473AB90640FDCE6AEF6C"/>
    <w:rsid w:val="00D96B68"/>
  </w:style>
  <w:style w:type="paragraph" w:customStyle="1" w:styleId="52E321B2C55B4FB7A51C245BD505319C">
    <w:name w:val="52E321B2C55B4FB7A51C245BD505319C"/>
    <w:rsid w:val="00B63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2971E24663540428900198EEE3BD9EB" ma:contentTypeVersion="6" ma:contentTypeDescription="Crear nuevo documento." ma:contentTypeScope="" ma:versionID="32cc4861a9887595b542a06e451342d6">
  <xsd:schema xmlns:xsd="http://www.w3.org/2001/XMLSchema" xmlns:xs="http://www.w3.org/2001/XMLSchema" xmlns:p="http://schemas.microsoft.com/office/2006/metadata/properties" xmlns:ns2="2b0b1cc7-d13e-445d-a112-287db9fc82b3" xmlns:ns3="539b2191-28cb-4258-8d59-1b5cd2a06e57" targetNamespace="http://schemas.microsoft.com/office/2006/metadata/properties" ma:root="true" ma:fieldsID="5cf2f610c5197d7a61a64c46b2331ce9" ns2:_="" ns3:_="">
    <xsd:import namespace="2b0b1cc7-d13e-445d-a112-287db9fc82b3"/>
    <xsd:import namespace="539b2191-28cb-4258-8d59-1b5cd2a06e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b1cc7-d13e-445d-a112-287db9fc8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9b2191-28cb-4258-8d59-1b5cd2a06e57"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28EF85-55CB-4290-8C9F-3BF0B804AA73}">
  <ds:schemaRefs>
    <ds:schemaRef ds:uri="http://schemas.openxmlformats.org/officeDocument/2006/bibliography"/>
  </ds:schemaRefs>
</ds:datastoreItem>
</file>

<file path=customXml/itemProps2.xml><?xml version="1.0" encoding="utf-8"?>
<ds:datastoreItem xmlns:ds="http://schemas.openxmlformats.org/officeDocument/2006/customXml" ds:itemID="{15EEE8D2-1D75-47E0-BBA0-DB1448F8D454}">
  <ds:schemaRefs>
    <ds:schemaRef ds:uri="http://schemas.microsoft.com/sharepoint/v3/contenttype/forms"/>
  </ds:schemaRefs>
</ds:datastoreItem>
</file>

<file path=customXml/itemProps3.xml><?xml version="1.0" encoding="utf-8"?>
<ds:datastoreItem xmlns:ds="http://schemas.openxmlformats.org/officeDocument/2006/customXml" ds:itemID="{65D15F5A-D912-4DF1-9829-6DEF05531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b1cc7-d13e-445d-a112-287db9fc82b3"/>
    <ds:schemaRef ds:uri="539b2191-28cb-4258-8d59-1b5cd2a0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7D5D0-9B8E-47A6-9B22-69A130C95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3964</Words>
  <Characters>21806</Characters>
  <Application>Microsoft Office Word</Application>
  <DocSecurity>4</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Velazquez</dc:creator>
  <cp:lastModifiedBy>Estefania Montserrat Rodriguez</cp:lastModifiedBy>
  <cp:revision>2</cp:revision>
  <cp:lastPrinted>2023-07-03T13:08:00Z</cp:lastPrinted>
  <dcterms:created xsi:type="dcterms:W3CDTF">2024-11-08T12:04:00Z</dcterms:created>
  <dcterms:modified xsi:type="dcterms:W3CDTF">2024-11-08T12:04:00Z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0x010100B2971E24663540428900198EEE3BD9EB</vt:lpwstr>
  </property>
</Properties>
</file>